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A17922" w14:textId="77777777" w:rsidR="006C2D00" w:rsidRDefault="0075695A"/>
    <w:p w14:paraId="21B1077D" w14:textId="77777777" w:rsidR="00162CC1" w:rsidRDefault="00162CC1" w:rsidP="00162CC1">
      <w:pPr>
        <w:jc w:val="center"/>
        <w:rPr>
          <w:rFonts w:ascii="Times New Roman" w:hAnsi="Times New Roman" w:cs="Times New Roman"/>
          <w:b/>
          <w:color w:val="FF6600"/>
          <w:sz w:val="36"/>
          <w:szCs w:val="36"/>
        </w:rPr>
      </w:pPr>
    </w:p>
    <w:p w14:paraId="1F78FCBC" w14:textId="77777777" w:rsidR="00162CC1" w:rsidRPr="00162CC1" w:rsidRDefault="00162CC1" w:rsidP="00AA0BA7">
      <w:pPr>
        <w:jc w:val="center"/>
        <w:outlineLvl w:val="0"/>
        <w:rPr>
          <w:rFonts w:ascii="Times New Roman" w:hAnsi="Times New Roman" w:cs="Times New Roman"/>
          <w:b/>
          <w:color w:val="ED7D31" w:themeColor="accent2"/>
          <w:sz w:val="36"/>
          <w:szCs w:val="36"/>
        </w:rPr>
      </w:pPr>
      <w:r w:rsidRPr="00162CC1">
        <w:rPr>
          <w:rFonts w:ascii="Times New Roman" w:hAnsi="Times New Roman" w:cs="Times New Roman"/>
          <w:b/>
          <w:color w:val="ED7D31" w:themeColor="accent2"/>
          <w:sz w:val="36"/>
          <w:szCs w:val="36"/>
        </w:rPr>
        <w:t>Master Manager QSE</w:t>
      </w:r>
    </w:p>
    <w:p w14:paraId="7F848638" w14:textId="3F948F80" w:rsidR="00162CC1" w:rsidRPr="00162CC1" w:rsidRDefault="00162CC1" w:rsidP="00162CC1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73471F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Master </w:t>
      </w:r>
      <w:r w:rsidR="00CD6992">
        <w:rPr>
          <w:rFonts w:ascii="Times New Roman" w:hAnsi="Times New Roman" w:cs="Times New Roman"/>
          <w:b/>
          <w:color w:val="002060"/>
          <w:sz w:val="28"/>
          <w:szCs w:val="28"/>
        </w:rPr>
        <w:t>2</w:t>
      </w:r>
      <w:r w:rsidRPr="0073471F">
        <w:rPr>
          <w:rFonts w:ascii="Times New Roman" w:hAnsi="Times New Roman" w:cs="Times New Roman"/>
          <w:b/>
          <w:color w:val="002060"/>
          <w:sz w:val="28"/>
          <w:szCs w:val="28"/>
          <w:vertAlign w:val="superscript"/>
        </w:rPr>
        <w:t>ère</w:t>
      </w:r>
      <w:r w:rsidRPr="0073471F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année </w:t>
      </w:r>
      <w:r w:rsidR="00CD6992">
        <w:rPr>
          <w:rFonts w:ascii="Times New Roman" w:hAnsi="Times New Roman" w:cs="Times New Roman"/>
          <w:b/>
          <w:color w:val="002060"/>
          <w:sz w:val="28"/>
          <w:szCs w:val="28"/>
        </w:rPr>
        <w:t>202</w:t>
      </w:r>
      <w:r w:rsidR="00DA7A0A">
        <w:rPr>
          <w:rFonts w:ascii="Times New Roman" w:hAnsi="Times New Roman" w:cs="Times New Roman"/>
          <w:b/>
          <w:color w:val="002060"/>
          <w:sz w:val="28"/>
          <w:szCs w:val="28"/>
        </w:rPr>
        <w:t>4</w:t>
      </w:r>
      <w:r w:rsidR="000233A7">
        <w:rPr>
          <w:rFonts w:ascii="Times New Roman" w:hAnsi="Times New Roman" w:cs="Times New Roman"/>
          <w:b/>
          <w:color w:val="002060"/>
          <w:sz w:val="28"/>
          <w:szCs w:val="28"/>
        </w:rPr>
        <w:t>-</w:t>
      </w:r>
      <w:r w:rsidR="00CD6992">
        <w:rPr>
          <w:rFonts w:ascii="Times New Roman" w:hAnsi="Times New Roman" w:cs="Times New Roman"/>
          <w:b/>
          <w:color w:val="002060"/>
          <w:sz w:val="28"/>
          <w:szCs w:val="28"/>
        </w:rPr>
        <w:t>202</w:t>
      </w:r>
      <w:r w:rsidR="00DA7A0A">
        <w:rPr>
          <w:rFonts w:ascii="Times New Roman" w:hAnsi="Times New Roman" w:cs="Times New Roman"/>
          <w:b/>
          <w:color w:val="002060"/>
          <w:sz w:val="28"/>
          <w:szCs w:val="28"/>
        </w:rPr>
        <w:t>5</w:t>
      </w:r>
    </w:p>
    <w:p w14:paraId="1A1E0EF4" w14:textId="1486A2C7" w:rsidR="00162CC1" w:rsidRPr="001D111D" w:rsidRDefault="00D84048" w:rsidP="00162CC1">
      <w:pPr>
        <w:jc w:val="center"/>
        <w:rPr>
          <w:rFonts w:ascii="Times New Roman" w:hAnsi="Times New Roman" w:cs="Times New Roman"/>
          <w:b/>
          <w:color w:val="FF6600"/>
          <w:sz w:val="36"/>
          <w:szCs w:val="36"/>
        </w:rPr>
      </w:pPr>
      <w:r>
        <w:rPr>
          <w:rFonts w:ascii="Times New Roman" w:hAnsi="Times New Roman" w:cs="Times New Roman"/>
          <w:b/>
          <w:color w:val="ED7D31" w:themeColor="accent2"/>
          <w:sz w:val="36"/>
          <w:szCs w:val="36"/>
        </w:rPr>
        <w:t xml:space="preserve">UE </w:t>
      </w:r>
      <w:r w:rsidR="00CD6992">
        <w:rPr>
          <w:rFonts w:ascii="Times New Roman" w:hAnsi="Times New Roman" w:cs="Times New Roman"/>
          <w:b/>
          <w:color w:val="ED7D31" w:themeColor="accent2"/>
          <w:sz w:val="36"/>
          <w:szCs w:val="36"/>
        </w:rPr>
        <w:t>05</w:t>
      </w:r>
      <w:r w:rsidR="00162CC1" w:rsidRPr="00162CC1">
        <w:rPr>
          <w:rFonts w:ascii="Times New Roman" w:hAnsi="Times New Roman" w:cs="Times New Roman"/>
          <w:b/>
          <w:color w:val="ED7D31" w:themeColor="accent2"/>
          <w:sz w:val="36"/>
          <w:szCs w:val="36"/>
        </w:rPr>
        <w:t xml:space="preserve"> </w:t>
      </w:r>
      <w:r w:rsidR="00CD6992">
        <w:rPr>
          <w:rFonts w:ascii="Times New Roman" w:hAnsi="Times New Roman" w:cs="Times New Roman"/>
          <w:b/>
          <w:color w:val="ED7D31" w:themeColor="accent2"/>
          <w:sz w:val="36"/>
          <w:szCs w:val="36"/>
        </w:rPr>
        <w:t>Marketing et Communication QSE</w:t>
      </w:r>
    </w:p>
    <w:p w14:paraId="0E305CD1" w14:textId="5C9FB352" w:rsidR="00162CC1" w:rsidRPr="0073471F" w:rsidRDefault="00CB2EBC" w:rsidP="00AA0BA7">
      <w:pPr>
        <w:jc w:val="center"/>
        <w:outlineLvl w:val="0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Coordina</w:t>
      </w:r>
      <w:r w:rsidR="0076027C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trice </w:t>
      </w:r>
      <w:r w:rsidR="00FA5B8B">
        <w:rPr>
          <w:rFonts w:ascii="Times New Roman" w:hAnsi="Times New Roman" w:cs="Times New Roman"/>
          <w:b/>
          <w:color w:val="002060"/>
          <w:sz w:val="28"/>
          <w:szCs w:val="28"/>
        </w:rPr>
        <w:t>Maria Mercanti-Guérin</w:t>
      </w:r>
    </w:p>
    <w:p w14:paraId="70657DE9" w14:textId="77777777" w:rsidR="00162CC1" w:rsidRPr="0073471F" w:rsidRDefault="00162CC1" w:rsidP="00162C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i/>
          <w:color w:val="002060"/>
        </w:rPr>
      </w:pPr>
    </w:p>
    <w:p w14:paraId="009C587F" w14:textId="77777777" w:rsidR="00162CC1" w:rsidRDefault="00162CC1" w:rsidP="00162C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color w:val="002060"/>
        </w:rPr>
      </w:pPr>
    </w:p>
    <w:p w14:paraId="08FBB590" w14:textId="77777777" w:rsidR="00162CC1" w:rsidRDefault="00162CC1" w:rsidP="00162C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color w:val="002060"/>
        </w:rPr>
      </w:pPr>
    </w:p>
    <w:p w14:paraId="3B711C59" w14:textId="278B0E0D" w:rsidR="00162CC1" w:rsidRDefault="00162CC1" w:rsidP="00AA0BA7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  <w:r w:rsidRPr="0073471F">
        <w:rPr>
          <w:rFonts w:ascii="Times New Roman" w:eastAsia="MS Mincho" w:hAnsi="Times New Roman" w:cs="Times New Roman"/>
          <w:b/>
          <w:color w:val="002060"/>
        </w:rPr>
        <w:t xml:space="preserve">Objectifs de l’unité d’enseignement </w:t>
      </w:r>
    </w:p>
    <w:p w14:paraId="37B4A326" w14:textId="77777777" w:rsidR="00707DEB" w:rsidRPr="0080485A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 w:rsidRPr="0080485A">
        <w:rPr>
          <w:rFonts w:ascii="Times New Roman" w:eastAsia="MS Mincho" w:hAnsi="Times New Roman" w:cs="Times New Roman"/>
          <w:b/>
          <w:color w:val="002060"/>
          <w:u w:val="single"/>
        </w:rPr>
        <w:t>Objectif général</w:t>
      </w:r>
      <w:r w:rsidRPr="0080485A">
        <w:rPr>
          <w:rFonts w:ascii="Times New Roman" w:eastAsia="MS Mincho" w:hAnsi="Times New Roman" w:cs="Times New Roman"/>
          <w:color w:val="002060"/>
        </w:rPr>
        <w:t xml:space="preserve"> :</w:t>
      </w:r>
    </w:p>
    <w:p w14:paraId="27E3B023" w14:textId="77777777" w:rsidR="00707DEB" w:rsidRPr="0080485A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 w:rsidRPr="0080485A">
        <w:rPr>
          <w:rFonts w:ascii="Times New Roman" w:eastAsia="MS Mincho" w:hAnsi="Times New Roman" w:cs="Times New Roman"/>
          <w:color w:val="002060"/>
        </w:rPr>
        <w:t>Doter les étudiants des connaissances et compétences nécessaires pour concevoir, implémenter et évaluer des stratégies marketing et de communication efficaces axées sur la Qualité, Sécurité et Environnement (QSE).</w:t>
      </w:r>
    </w:p>
    <w:p w14:paraId="64E9058E" w14:textId="77777777" w:rsidR="00707DEB" w:rsidRPr="0080485A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</w:p>
    <w:p w14:paraId="5A87066E" w14:textId="77777777" w:rsidR="00707DEB" w:rsidRPr="0080485A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 w:rsidRPr="0080485A">
        <w:rPr>
          <w:rFonts w:ascii="Times New Roman" w:eastAsia="MS Mincho" w:hAnsi="Times New Roman" w:cs="Times New Roman"/>
          <w:b/>
          <w:color w:val="002060"/>
          <w:u w:val="single"/>
        </w:rPr>
        <w:t>Objectifs spécifiques</w:t>
      </w:r>
      <w:r w:rsidRPr="0080485A">
        <w:rPr>
          <w:rFonts w:ascii="Times New Roman" w:eastAsia="MS Mincho" w:hAnsi="Times New Roman" w:cs="Times New Roman"/>
          <w:color w:val="002060"/>
        </w:rPr>
        <w:t xml:space="preserve"> :</w:t>
      </w:r>
    </w:p>
    <w:p w14:paraId="0E86CE44" w14:textId="77777777" w:rsidR="00707DEB" w:rsidRPr="0080485A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 w:rsidRPr="0080485A">
        <w:rPr>
          <w:rFonts w:ascii="Times New Roman" w:eastAsia="MS Mincho" w:hAnsi="Times New Roman" w:cs="Times New Roman"/>
          <w:color w:val="002060"/>
        </w:rPr>
        <w:t>Comprendre l'intersection entre marketing, communication et QSE.</w:t>
      </w:r>
    </w:p>
    <w:p w14:paraId="64A3C5DE" w14:textId="77777777" w:rsidR="00707DEB" w:rsidRPr="0080485A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 w:rsidRPr="0080485A">
        <w:rPr>
          <w:rFonts w:ascii="Times New Roman" w:eastAsia="MS Mincho" w:hAnsi="Times New Roman" w:cs="Times New Roman"/>
          <w:color w:val="002060"/>
        </w:rPr>
        <w:t>Apprendre à développer et à mettre en œuvre des campagnes de communication axées sur le QSE.</w:t>
      </w:r>
    </w:p>
    <w:p w14:paraId="0AF5C8F9" w14:textId="53F20EA1" w:rsidR="001E3761" w:rsidRDefault="00707DEB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 w:rsidRPr="0080485A">
        <w:rPr>
          <w:rFonts w:ascii="Times New Roman" w:eastAsia="MS Mincho" w:hAnsi="Times New Roman" w:cs="Times New Roman"/>
          <w:color w:val="002060"/>
        </w:rPr>
        <w:t>Identifier et éviter les pièges du "</w:t>
      </w:r>
      <w:proofErr w:type="spellStart"/>
      <w:r w:rsidRPr="0080485A">
        <w:rPr>
          <w:rFonts w:ascii="Times New Roman" w:eastAsia="MS Mincho" w:hAnsi="Times New Roman" w:cs="Times New Roman"/>
          <w:color w:val="002060"/>
        </w:rPr>
        <w:t>greenwashing</w:t>
      </w:r>
      <w:proofErr w:type="spellEnd"/>
      <w:r w:rsidRPr="0080485A">
        <w:rPr>
          <w:rFonts w:ascii="Times New Roman" w:eastAsia="MS Mincho" w:hAnsi="Times New Roman" w:cs="Times New Roman"/>
          <w:color w:val="002060"/>
        </w:rPr>
        <w:t>".</w:t>
      </w:r>
    </w:p>
    <w:p w14:paraId="082805FE" w14:textId="7F5EE86A" w:rsidR="0080485A" w:rsidRDefault="0080485A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>F</w:t>
      </w:r>
      <w:r w:rsidRPr="0080485A">
        <w:rPr>
          <w:rFonts w:ascii="Times New Roman" w:eastAsia="MS Mincho" w:hAnsi="Times New Roman" w:cs="Times New Roman"/>
          <w:color w:val="002060"/>
        </w:rPr>
        <w:t xml:space="preserve">ournir des repères théoriques et pratiques sur les grands enjeux de la communication QSE. </w:t>
      </w:r>
      <w:r>
        <w:rPr>
          <w:rFonts w:ascii="Times New Roman" w:eastAsia="MS Mincho" w:hAnsi="Times New Roman" w:cs="Times New Roman"/>
          <w:color w:val="002060"/>
        </w:rPr>
        <w:t>Le cours</w:t>
      </w:r>
      <w:r w:rsidRPr="0080485A">
        <w:rPr>
          <w:rFonts w:ascii="Times New Roman" w:eastAsia="MS Mincho" w:hAnsi="Times New Roman" w:cs="Times New Roman"/>
          <w:color w:val="002060"/>
        </w:rPr>
        <w:t xml:space="preserve"> vise, à travers des problématiques QSE, à étudier les grands concepts de la communication digitale (SEO, SEM, réseaux sociaux).</w:t>
      </w:r>
    </w:p>
    <w:p w14:paraId="77072D68" w14:textId="39DDA35C" w:rsidR="0080485A" w:rsidRPr="0080485A" w:rsidRDefault="0080485A" w:rsidP="00707DEB">
      <w:pPr>
        <w:tabs>
          <w:tab w:val="left" w:pos="1545"/>
        </w:tabs>
        <w:spacing w:after="0" w:line="240" w:lineRule="auto"/>
        <w:ind w:left="360"/>
        <w:jc w:val="both"/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 xml:space="preserve">Savoir gérer une crise et piloter sa e-réputation QSE. </w:t>
      </w:r>
    </w:p>
    <w:p w14:paraId="529C8698" w14:textId="77777777" w:rsidR="0080485A" w:rsidRDefault="0080485A" w:rsidP="00162C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</w:rPr>
      </w:pPr>
    </w:p>
    <w:p w14:paraId="62055D05" w14:textId="531AF773" w:rsidR="00162CC1" w:rsidRPr="0080485A" w:rsidRDefault="0080485A" w:rsidP="00162C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color w:val="002060"/>
        </w:rPr>
      </w:pPr>
      <w:r w:rsidRPr="0080485A">
        <w:rPr>
          <w:rFonts w:ascii="Times New Roman" w:eastAsia="MS Mincho" w:hAnsi="Times New Roman" w:cs="Times New Roman"/>
          <w:b/>
          <w:color w:val="002060"/>
        </w:rPr>
        <w:t>Evaluation</w:t>
      </w:r>
    </w:p>
    <w:p w14:paraId="34BACE8D" w14:textId="68E5CA07" w:rsidR="00F069CC" w:rsidRDefault="008A107E" w:rsidP="00162CC1">
      <w:pPr>
        <w:rPr>
          <w:rFonts w:ascii="Times New Roman" w:eastAsia="MS Mincho" w:hAnsi="Times New Roman" w:cs="Times New Roman"/>
          <w:color w:val="002060"/>
        </w:rPr>
      </w:pPr>
      <w:r w:rsidRPr="008A107E">
        <w:rPr>
          <w:rFonts w:ascii="Times New Roman" w:eastAsia="MS Mincho" w:hAnsi="Times New Roman" w:cs="Times New Roman"/>
          <w:color w:val="002060"/>
        </w:rPr>
        <w:t>Concernant l’évaluation</w:t>
      </w:r>
      <w:r>
        <w:rPr>
          <w:rFonts w:ascii="Times New Roman" w:eastAsia="MS Mincho" w:hAnsi="Times New Roman" w:cs="Times New Roman"/>
          <w:color w:val="002060"/>
        </w:rPr>
        <w:t xml:space="preserve">, </w:t>
      </w:r>
      <w:r w:rsidR="00D84623">
        <w:rPr>
          <w:rFonts w:ascii="Times New Roman" w:eastAsia="MS Mincho" w:hAnsi="Times New Roman" w:cs="Times New Roman"/>
          <w:color w:val="002060"/>
        </w:rPr>
        <w:t>elle se compose de deux volets :</w:t>
      </w:r>
    </w:p>
    <w:p w14:paraId="132CA246" w14:textId="77777777" w:rsidR="00DC047F" w:rsidRDefault="00F069CC" w:rsidP="00D84623">
      <w:pPr>
        <w:pStyle w:val="Paragraphedeliste"/>
        <w:numPr>
          <w:ilvl w:val="0"/>
          <w:numId w:val="8"/>
        </w:numPr>
        <w:rPr>
          <w:rFonts w:ascii="Times New Roman" w:eastAsia="MS Mincho" w:hAnsi="Times New Roman" w:cs="Times New Roman"/>
          <w:color w:val="002060"/>
        </w:rPr>
      </w:pPr>
      <w:r w:rsidRPr="00DC047F">
        <w:rPr>
          <w:rFonts w:ascii="Times New Roman" w:eastAsia="MS Mincho" w:hAnsi="Times New Roman" w:cs="Times New Roman"/>
          <w:b/>
          <w:color w:val="002060"/>
        </w:rPr>
        <w:t>50% de la note finale</w:t>
      </w:r>
      <w:r w:rsidRPr="00D84623">
        <w:rPr>
          <w:rFonts w:ascii="Times New Roman" w:eastAsia="MS Mincho" w:hAnsi="Times New Roman" w:cs="Times New Roman"/>
          <w:color w:val="002060"/>
        </w:rPr>
        <w:t xml:space="preserve"> se</w:t>
      </w:r>
      <w:r w:rsidR="0080485A">
        <w:rPr>
          <w:rFonts w:ascii="Times New Roman" w:eastAsia="MS Mincho" w:hAnsi="Times New Roman" w:cs="Times New Roman"/>
          <w:color w:val="002060"/>
        </w:rPr>
        <w:t xml:space="preserve"> compose d’un contrôle continu composé</w:t>
      </w:r>
      <w:r w:rsidR="00DC047F">
        <w:rPr>
          <w:rFonts w:ascii="Times New Roman" w:eastAsia="MS Mincho" w:hAnsi="Times New Roman" w:cs="Times New Roman"/>
          <w:color w:val="002060"/>
        </w:rPr>
        <w:t xml:space="preserve"> : </w:t>
      </w:r>
      <w:r w:rsidR="0080485A">
        <w:rPr>
          <w:rFonts w:ascii="Times New Roman" w:eastAsia="MS Mincho" w:hAnsi="Times New Roman" w:cs="Times New Roman"/>
          <w:color w:val="002060"/>
        </w:rPr>
        <w:t xml:space="preserve"> </w:t>
      </w:r>
    </w:p>
    <w:p w14:paraId="7D92B988" w14:textId="45E23B1D" w:rsidR="00F069CC" w:rsidRDefault="00DC047F" w:rsidP="00DC047F">
      <w:pPr>
        <w:pStyle w:val="Paragraphedeliste"/>
        <w:numPr>
          <w:ilvl w:val="1"/>
          <w:numId w:val="8"/>
        </w:numPr>
        <w:rPr>
          <w:rFonts w:ascii="Times New Roman" w:eastAsia="MS Mincho" w:hAnsi="Times New Roman" w:cs="Times New Roman"/>
          <w:color w:val="002060"/>
        </w:rPr>
      </w:pPr>
      <w:r w:rsidRPr="00DC047F">
        <w:rPr>
          <w:rFonts w:ascii="Times New Roman" w:eastAsia="MS Mincho" w:hAnsi="Times New Roman" w:cs="Times New Roman"/>
          <w:b/>
          <w:color w:val="002060"/>
          <w:u w:val="single"/>
        </w:rPr>
        <w:t>D’un</w:t>
      </w:r>
      <w:r w:rsidR="0080485A" w:rsidRPr="00DC047F">
        <w:rPr>
          <w:rFonts w:ascii="Times New Roman" w:eastAsia="MS Mincho" w:hAnsi="Times New Roman" w:cs="Times New Roman"/>
          <w:b/>
          <w:color w:val="002060"/>
          <w:u w:val="single"/>
        </w:rPr>
        <w:t xml:space="preserve"> cas « Fil rouge »</w:t>
      </w:r>
      <w:r w:rsidR="009444D4">
        <w:rPr>
          <w:rFonts w:ascii="Times New Roman" w:eastAsia="MS Mincho" w:hAnsi="Times New Roman" w:cs="Times New Roman"/>
          <w:color w:val="002060"/>
        </w:rPr>
        <w:t xml:space="preserve"> axé sur une startup tech</w:t>
      </w:r>
      <w:r w:rsidR="00DA7A0A">
        <w:rPr>
          <w:rFonts w:ascii="Times New Roman" w:eastAsia="MS Mincho" w:hAnsi="Times New Roman" w:cs="Times New Roman"/>
          <w:color w:val="002060"/>
        </w:rPr>
        <w:t>n</w:t>
      </w:r>
      <w:r w:rsidR="009444D4">
        <w:rPr>
          <w:rFonts w:ascii="Times New Roman" w:eastAsia="MS Mincho" w:hAnsi="Times New Roman" w:cs="Times New Roman"/>
          <w:color w:val="002060"/>
        </w:rPr>
        <w:t>ologique</w:t>
      </w:r>
      <w:r w:rsidR="00DA7A0A">
        <w:rPr>
          <w:rFonts w:ascii="Times New Roman" w:eastAsia="MS Mincho" w:hAnsi="Times New Roman" w:cs="Times New Roman"/>
          <w:color w:val="002060"/>
        </w:rPr>
        <w:t xml:space="preserve"> ayant une problématique QSE</w:t>
      </w:r>
      <w:r w:rsidR="0080485A">
        <w:rPr>
          <w:rFonts w:ascii="Times New Roman" w:eastAsia="MS Mincho" w:hAnsi="Times New Roman" w:cs="Times New Roman"/>
          <w:color w:val="002060"/>
        </w:rPr>
        <w:t xml:space="preserve">. Le travail se fait en groupe lors des TD et donnera lieu à une présentation lors de la dernière séance. </w:t>
      </w:r>
    </w:p>
    <w:p w14:paraId="4D5E4D6F" w14:textId="7D7EB5EB" w:rsidR="00DC047F" w:rsidRDefault="00DC047F" w:rsidP="00DC047F">
      <w:pPr>
        <w:pStyle w:val="Paragraphedeliste"/>
        <w:numPr>
          <w:ilvl w:val="1"/>
          <w:numId w:val="8"/>
        </w:numPr>
        <w:rPr>
          <w:rFonts w:ascii="Times New Roman" w:eastAsia="MS Mincho" w:hAnsi="Times New Roman" w:cs="Times New Roman"/>
          <w:color w:val="002060"/>
        </w:rPr>
      </w:pPr>
      <w:r w:rsidRPr="00DC047F">
        <w:rPr>
          <w:rFonts w:ascii="Times New Roman" w:eastAsia="MS Mincho" w:hAnsi="Times New Roman" w:cs="Times New Roman"/>
          <w:b/>
          <w:color w:val="002060"/>
          <w:u w:val="single"/>
        </w:rPr>
        <w:t>D’une note individuelle</w:t>
      </w:r>
      <w:r>
        <w:rPr>
          <w:rFonts w:ascii="Times New Roman" w:eastAsia="MS Mincho" w:hAnsi="Times New Roman" w:cs="Times New Roman"/>
          <w:color w:val="002060"/>
        </w:rPr>
        <w:t xml:space="preserve"> destinée à évaluer la compréhension des concepts abordés en cours. Pour chaque séance, ce travail d’une heure comprend :</w:t>
      </w:r>
    </w:p>
    <w:p w14:paraId="46B8F225" w14:textId="2D4554E9" w:rsidR="00DC047F" w:rsidRDefault="00DC047F" w:rsidP="00DC047F">
      <w:pPr>
        <w:pStyle w:val="Paragraphedeliste"/>
        <w:numPr>
          <w:ilvl w:val="2"/>
          <w:numId w:val="8"/>
        </w:numPr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 xml:space="preserve">Des questions sur le document de synthèse </w:t>
      </w:r>
    </w:p>
    <w:p w14:paraId="301330AE" w14:textId="2EEBFE01" w:rsidR="00DC047F" w:rsidRDefault="00DC047F" w:rsidP="00DC047F">
      <w:pPr>
        <w:pStyle w:val="Paragraphedeliste"/>
        <w:numPr>
          <w:ilvl w:val="2"/>
          <w:numId w:val="8"/>
        </w:numPr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>Des exercices d’application</w:t>
      </w:r>
    </w:p>
    <w:p w14:paraId="1E738104" w14:textId="649C1952" w:rsidR="00DC047F" w:rsidRPr="00DC047F" w:rsidRDefault="00DC047F" w:rsidP="00DC047F">
      <w:pPr>
        <w:pStyle w:val="Paragraphedeliste"/>
        <w:numPr>
          <w:ilvl w:val="2"/>
          <w:numId w:val="8"/>
        </w:numPr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>Des prompts</w:t>
      </w:r>
    </w:p>
    <w:p w14:paraId="732B5F90" w14:textId="03E7EC54" w:rsidR="00DC047F" w:rsidRPr="00DC047F" w:rsidRDefault="00317D15" w:rsidP="00DC047F">
      <w:pPr>
        <w:pStyle w:val="Paragraphedeliste"/>
        <w:numPr>
          <w:ilvl w:val="2"/>
          <w:numId w:val="8"/>
        </w:numPr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>Un compte rendu du salon professionnel suivi</w:t>
      </w:r>
      <w:bookmarkStart w:id="0" w:name="_GoBack"/>
      <w:bookmarkEnd w:id="0"/>
      <w:r w:rsidR="00DC047F" w:rsidRPr="00DC047F">
        <w:rPr>
          <w:rFonts w:ascii="Times New Roman" w:eastAsia="MS Mincho" w:hAnsi="Times New Roman" w:cs="Times New Roman"/>
          <w:color w:val="002060"/>
        </w:rPr>
        <w:t xml:space="preserve"> lors du module</w:t>
      </w:r>
    </w:p>
    <w:p w14:paraId="5B05A0C4" w14:textId="1D522260" w:rsidR="00913910" w:rsidRPr="007C202A" w:rsidRDefault="00F069CC" w:rsidP="00A403E8">
      <w:pPr>
        <w:pStyle w:val="Paragraphedeliste"/>
        <w:numPr>
          <w:ilvl w:val="0"/>
          <w:numId w:val="8"/>
        </w:numPr>
        <w:rPr>
          <w:rFonts w:ascii="Times New Roman" w:eastAsia="MS Mincho" w:hAnsi="Times New Roman" w:cs="Times New Roman"/>
          <w:color w:val="002060"/>
        </w:rPr>
      </w:pPr>
      <w:r w:rsidRPr="00DC047F">
        <w:rPr>
          <w:rFonts w:ascii="Times New Roman" w:eastAsia="MS Mincho" w:hAnsi="Times New Roman" w:cs="Times New Roman"/>
          <w:b/>
          <w:color w:val="002060"/>
        </w:rPr>
        <w:t>50% de la note finale</w:t>
      </w:r>
      <w:r w:rsidR="0080485A">
        <w:rPr>
          <w:rFonts w:ascii="Times New Roman" w:eastAsia="MS Mincho" w:hAnsi="Times New Roman" w:cs="Times New Roman"/>
          <w:color w:val="002060"/>
        </w:rPr>
        <w:t xml:space="preserve"> se compose d’un examen final individuel. </w:t>
      </w:r>
      <w:r w:rsidR="00DA7A0A" w:rsidRPr="007C202A">
        <w:rPr>
          <w:rFonts w:ascii="Times New Roman" w:eastAsia="MS Mincho" w:hAnsi="Times New Roman" w:cs="Times New Roman"/>
          <w:color w:val="002060"/>
        </w:rPr>
        <w:t xml:space="preserve">Le sujet portera sur des questions de cours sans document autorisé. </w:t>
      </w:r>
    </w:p>
    <w:p w14:paraId="48CA4119" w14:textId="77777777" w:rsidR="00EF33C1" w:rsidRPr="00ED69AA" w:rsidRDefault="00EF33C1" w:rsidP="00EF33C1">
      <w:pPr>
        <w:tabs>
          <w:tab w:val="left" w:pos="1545"/>
        </w:tabs>
        <w:spacing w:after="0" w:line="240" w:lineRule="auto"/>
        <w:jc w:val="both"/>
        <w:rPr>
          <w:color w:val="002060"/>
          <w:lang w:val="en-US"/>
        </w:rPr>
      </w:pPr>
    </w:p>
    <w:p w14:paraId="250E1E08" w14:textId="77777777" w:rsidR="0067782C" w:rsidRPr="0067782C" w:rsidRDefault="0067782C" w:rsidP="0067782C">
      <w:pPr>
        <w:spacing w:after="0"/>
        <w:jc w:val="both"/>
        <w:rPr>
          <w:b/>
          <w:color w:val="002060"/>
        </w:rPr>
      </w:pPr>
      <w:r w:rsidRPr="0067782C">
        <w:rPr>
          <w:b/>
          <w:color w:val="002060"/>
        </w:rPr>
        <w:t>: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4536"/>
        <w:gridCol w:w="2404"/>
      </w:tblGrid>
      <w:tr w:rsidR="0067782C" w:rsidRPr="0067782C" w14:paraId="351665EC" w14:textId="77777777" w:rsidTr="0067782C">
        <w:tc>
          <w:tcPr>
            <w:tcW w:w="2122" w:type="dxa"/>
            <w:shd w:val="clear" w:color="auto" w:fill="FFC000"/>
            <w:hideMark/>
          </w:tcPr>
          <w:p w14:paraId="29A2DCCB" w14:textId="77777777" w:rsidR="0067782C" w:rsidRPr="0067782C" w:rsidRDefault="0067782C" w:rsidP="0067782C">
            <w:pPr>
              <w:spacing w:line="259" w:lineRule="auto"/>
              <w:jc w:val="both"/>
              <w:rPr>
                <w:b/>
                <w:bCs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>Thème de la séance</w:t>
            </w:r>
          </w:p>
        </w:tc>
        <w:tc>
          <w:tcPr>
            <w:tcW w:w="4536" w:type="dxa"/>
            <w:shd w:val="clear" w:color="auto" w:fill="FFC000"/>
            <w:hideMark/>
          </w:tcPr>
          <w:p w14:paraId="67FD20F3" w14:textId="77777777" w:rsidR="0067782C" w:rsidRPr="0067782C" w:rsidRDefault="0067782C" w:rsidP="0067782C">
            <w:pPr>
              <w:spacing w:line="259" w:lineRule="auto"/>
              <w:jc w:val="both"/>
              <w:rPr>
                <w:b/>
                <w:bCs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>Contenu de la séance</w:t>
            </w:r>
          </w:p>
        </w:tc>
        <w:tc>
          <w:tcPr>
            <w:tcW w:w="2404" w:type="dxa"/>
            <w:shd w:val="clear" w:color="auto" w:fill="FFC000"/>
            <w:hideMark/>
          </w:tcPr>
          <w:p w14:paraId="74E5F5DF" w14:textId="77777777" w:rsidR="0067782C" w:rsidRPr="0067782C" w:rsidRDefault="0067782C" w:rsidP="0067782C">
            <w:pPr>
              <w:spacing w:line="259" w:lineRule="auto"/>
              <w:jc w:val="both"/>
              <w:rPr>
                <w:b/>
                <w:bCs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>Illustrations (liens intéressants à lire pour la séance)</w:t>
            </w:r>
          </w:p>
        </w:tc>
      </w:tr>
      <w:tr w:rsidR="0067782C" w:rsidRPr="0067782C" w14:paraId="1E126DCF" w14:textId="77777777" w:rsidTr="0067782C">
        <w:tc>
          <w:tcPr>
            <w:tcW w:w="2122" w:type="dxa"/>
            <w:hideMark/>
          </w:tcPr>
          <w:p w14:paraId="3750D697" w14:textId="77777777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>Séance 1 : Qu’est-ce-que le marketing QSE ?</w:t>
            </w:r>
          </w:p>
        </w:tc>
        <w:tc>
          <w:tcPr>
            <w:tcW w:w="4536" w:type="dxa"/>
            <w:hideMark/>
          </w:tcPr>
          <w:p w14:paraId="3345401D" w14:textId="77777777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Rôle du marketing dans la promotion des initiatives QSE</w:t>
            </w:r>
            <w:r w:rsidRPr="0067782C">
              <w:rPr>
                <w:color w:val="002060"/>
              </w:rPr>
              <w:br/>
              <w:t>- Importance stratégique du marketing QSE pour les entreprises</w:t>
            </w:r>
            <w:r w:rsidRPr="0067782C">
              <w:rPr>
                <w:color w:val="002060"/>
              </w:rPr>
              <w:br/>
              <w:t>- Stratégies de Marketing QSE, les 4P du marketing QSE</w:t>
            </w:r>
            <w:r w:rsidRPr="0067782C">
              <w:rPr>
                <w:color w:val="002060"/>
              </w:rPr>
              <w:br/>
              <w:t>- Élaboration de stratégies marketing alignées sur les objectifs QSE</w:t>
            </w:r>
            <w:r w:rsidRPr="0067782C">
              <w:rPr>
                <w:color w:val="002060"/>
              </w:rPr>
              <w:br/>
              <w:t>- Positionnement et différenciation par les initiatives QSE</w:t>
            </w:r>
            <w:r w:rsidRPr="0067782C">
              <w:rPr>
                <w:color w:val="002060"/>
              </w:rPr>
              <w:br/>
              <w:t>- Analyse SWOT (Forces, Faiblesses, Opportunités, Menaces) spécifique aux initiatives QSE</w:t>
            </w:r>
            <w:r w:rsidRPr="0067782C">
              <w:rPr>
                <w:color w:val="002060"/>
              </w:rPr>
              <w:br/>
              <w:t>- Études de cas : Stratégies réussies de marketing QSE</w:t>
            </w:r>
          </w:p>
        </w:tc>
        <w:tc>
          <w:tcPr>
            <w:tcW w:w="2404" w:type="dxa"/>
            <w:hideMark/>
          </w:tcPr>
          <w:p w14:paraId="02B96989" w14:textId="263BDAC7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  <w:sz w:val="16"/>
                <w:szCs w:val="16"/>
              </w:rPr>
            </w:pPr>
            <w:r w:rsidRPr="0067782C">
              <w:rPr>
                <w:b/>
                <w:color w:val="002060"/>
                <w:sz w:val="16"/>
                <w:szCs w:val="16"/>
              </w:rPr>
              <w:t>https://www.aboutamazon.fr/actualites/actualites/amazon-en-france-une-entreprise-engagee-pour-leconomie-lenvironnement-et-la-societe</w:t>
            </w:r>
          </w:p>
        </w:tc>
      </w:tr>
      <w:tr w:rsidR="0067782C" w:rsidRPr="0067782C" w14:paraId="0F977D5B" w14:textId="77777777" w:rsidTr="0067782C">
        <w:tc>
          <w:tcPr>
            <w:tcW w:w="2122" w:type="dxa"/>
            <w:hideMark/>
          </w:tcPr>
          <w:p w14:paraId="440B6B27" w14:textId="77777777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>Séance 2 : Marketing Vert et Responsabilité Sociétale des Entreprises (RSE)</w:t>
            </w:r>
          </w:p>
        </w:tc>
        <w:tc>
          <w:tcPr>
            <w:tcW w:w="4536" w:type="dxa"/>
            <w:hideMark/>
          </w:tcPr>
          <w:p w14:paraId="6B3BD072" w14:textId="77777777" w:rsid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Concepts de marketing vert et de RSE</w:t>
            </w:r>
            <w:r w:rsidRPr="0067782C">
              <w:rPr>
                <w:color w:val="002060"/>
              </w:rPr>
              <w:br/>
              <w:t>- Stratégies de marketing durable</w:t>
            </w:r>
          </w:p>
          <w:p w14:paraId="051A968E" w14:textId="5C5C8503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Gestion de la réputation et de l’image de marque en matière de RSE</w:t>
            </w:r>
            <w:r w:rsidRPr="0067782C">
              <w:rPr>
                <w:color w:val="002060"/>
              </w:rPr>
              <w:br/>
              <w:t>- Études de cas : Initiatives de marketing vert et RSE réussies</w:t>
            </w:r>
          </w:p>
        </w:tc>
        <w:tc>
          <w:tcPr>
            <w:tcW w:w="2404" w:type="dxa"/>
            <w:hideMark/>
          </w:tcPr>
          <w:p w14:paraId="2CBD2240" w14:textId="521F4A21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  <w:sz w:val="16"/>
                <w:szCs w:val="16"/>
              </w:rPr>
            </w:pPr>
            <w:hyperlink r:id="rId8" w:history="1">
              <w:r w:rsidRPr="00B47C84">
                <w:rPr>
                  <w:rStyle w:val="Lienhypertexte"/>
                  <w:b/>
                  <w:sz w:val="16"/>
                  <w:szCs w:val="16"/>
                </w:rPr>
                <w:t>https://www.esg-act.org/actualite/green-marketing-guide-pratique#:~:text=Le%20green%20marketing%2C%20ou%20marketing,on%20appelle%20le%20marketing%20responsable</w:t>
              </w:r>
            </w:hyperlink>
            <w:r w:rsidRPr="0067782C">
              <w:rPr>
                <w:b/>
                <w:color w:val="002060"/>
                <w:sz w:val="16"/>
                <w:szCs w:val="16"/>
              </w:rPr>
              <w:t>.</w:t>
            </w:r>
          </w:p>
          <w:p w14:paraId="5EFE2F6D" w14:textId="77777777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  <w:sz w:val="16"/>
                <w:szCs w:val="16"/>
              </w:rPr>
            </w:pPr>
          </w:p>
          <w:p w14:paraId="680E81D3" w14:textId="04F737F4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  <w:sz w:val="16"/>
                <w:szCs w:val="16"/>
              </w:rPr>
            </w:pPr>
          </w:p>
        </w:tc>
      </w:tr>
      <w:tr w:rsidR="0067782C" w:rsidRPr="0067782C" w14:paraId="4BE4EC06" w14:textId="77777777" w:rsidTr="0067782C">
        <w:tc>
          <w:tcPr>
            <w:tcW w:w="2122" w:type="dxa"/>
          </w:tcPr>
          <w:p w14:paraId="2DD3E2D9" w14:textId="77B5B861" w:rsidR="0067782C" w:rsidRPr="0067782C" w:rsidRDefault="0067782C" w:rsidP="0067782C">
            <w:pPr>
              <w:jc w:val="both"/>
              <w:rPr>
                <w:b/>
                <w:bCs/>
                <w:color w:val="002060"/>
              </w:rPr>
            </w:pPr>
            <w:r>
              <w:rPr>
                <w:b/>
                <w:bCs/>
                <w:color w:val="002060"/>
              </w:rPr>
              <w:t>Séance 3 : Marketing responsable</w:t>
            </w:r>
          </w:p>
        </w:tc>
        <w:tc>
          <w:tcPr>
            <w:tcW w:w="4536" w:type="dxa"/>
          </w:tcPr>
          <w:p w14:paraId="00E2AEE3" w14:textId="194AA806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Introduction au marketing responsable</w:t>
            </w:r>
            <w:r>
              <w:rPr>
                <w:color w:val="002060"/>
              </w:rPr>
              <w:t xml:space="preserve"> </w:t>
            </w:r>
          </w:p>
          <w:p w14:paraId="25DFB017" w14:textId="3430C0BC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Pricing responsable</w:t>
            </w:r>
          </w:p>
          <w:p w14:paraId="1F524C3A" w14:textId="30C966E5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Publicité responsable</w:t>
            </w:r>
          </w:p>
          <w:p w14:paraId="33430771" w14:textId="397D1FEE" w:rsidR="0067782C" w:rsidRPr="0067782C" w:rsidRDefault="0067782C" w:rsidP="0067782C">
            <w:pPr>
              <w:ind w:left="708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Publicité éthique et respectueuse de l'environnement</w:t>
            </w:r>
          </w:p>
          <w:p w14:paraId="488D7AF1" w14:textId="28A678BB" w:rsidR="0067782C" w:rsidRPr="0067782C" w:rsidRDefault="0067782C" w:rsidP="0067782C">
            <w:pPr>
              <w:ind w:left="708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Publicité responsable dans le digital</w:t>
            </w:r>
          </w:p>
          <w:p w14:paraId="673C91E3" w14:textId="53756D5D" w:rsidR="0067782C" w:rsidRPr="0067782C" w:rsidRDefault="0067782C" w:rsidP="0067782C">
            <w:pPr>
              <w:ind w:left="708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Ciblage publicitaire éthique et respectueux de la vie privée</w:t>
            </w:r>
          </w:p>
          <w:p w14:paraId="19B5B1BF" w14:textId="3E9D7508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Distribution responsable</w:t>
            </w:r>
          </w:p>
          <w:p w14:paraId="0EAE2718" w14:textId="732F5AE1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Engagement des parties prenantes</w:t>
            </w:r>
          </w:p>
          <w:p w14:paraId="4A1E7BFD" w14:textId="76369D35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Implication des consommateurs, employés et communautés</w:t>
            </w:r>
          </w:p>
          <w:p w14:paraId="7FA88621" w14:textId="356DE489" w:rsidR="0067782C" w:rsidRPr="0067782C" w:rsidRDefault="0067782C" w:rsidP="0067782C">
            <w:pPr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 xml:space="preserve">Mesure de l'impact et </w:t>
            </w:r>
            <w:proofErr w:type="spellStart"/>
            <w:r w:rsidRPr="0067782C">
              <w:rPr>
                <w:color w:val="002060"/>
              </w:rPr>
              <w:t>reporting</w:t>
            </w:r>
            <w:proofErr w:type="spellEnd"/>
          </w:p>
          <w:p w14:paraId="34B26F02" w14:textId="53E51D68" w:rsidR="0067782C" w:rsidRPr="0067782C" w:rsidRDefault="0067782C" w:rsidP="0067782C">
            <w:pPr>
              <w:jc w:val="both"/>
              <w:rPr>
                <w:color w:val="002060"/>
              </w:rPr>
            </w:pPr>
          </w:p>
        </w:tc>
        <w:tc>
          <w:tcPr>
            <w:tcW w:w="2404" w:type="dxa"/>
          </w:tcPr>
          <w:p w14:paraId="19A09E0F" w14:textId="17A5FD1E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  <w:hyperlink r:id="rId9" w:history="1">
              <w:r w:rsidRPr="00B47C84">
                <w:rPr>
                  <w:rStyle w:val="Lienhypertexte"/>
                  <w:b/>
                  <w:sz w:val="16"/>
                  <w:szCs w:val="16"/>
                </w:rPr>
                <w:t>https://communication-responsable.ademe.fr/comprendre-le-greenwashing</w:t>
              </w:r>
            </w:hyperlink>
          </w:p>
          <w:p w14:paraId="55EC35AC" w14:textId="3024EBB4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</w:p>
          <w:p w14:paraId="13732592" w14:textId="550D3C21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  <w:hyperlink r:id="rId10" w:history="1">
              <w:r w:rsidRPr="00B47C84">
                <w:rPr>
                  <w:rStyle w:val="Lienhypertexte"/>
                  <w:b/>
                  <w:sz w:val="16"/>
                  <w:szCs w:val="16"/>
                </w:rPr>
                <w:t>https://label-nr.fr/#:~:text=Le%20num%C3%A9rique%20responsable%20est%20une,r%C3%A9duire%20l'impact%20du%20num%C3%A9rique</w:t>
              </w:r>
            </w:hyperlink>
            <w:r w:rsidRPr="0067782C">
              <w:rPr>
                <w:b/>
                <w:color w:val="002060"/>
                <w:sz w:val="16"/>
                <w:szCs w:val="16"/>
              </w:rPr>
              <w:t>.</w:t>
            </w:r>
          </w:p>
          <w:p w14:paraId="49C7E427" w14:textId="77777777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</w:p>
          <w:p w14:paraId="1B971AE0" w14:textId="77777777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</w:p>
          <w:p w14:paraId="69B1F223" w14:textId="56BE7B55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  <w:hyperlink r:id="rId11" w:history="1">
              <w:r w:rsidRPr="00B47C84">
                <w:rPr>
                  <w:rStyle w:val="Lienhypertexte"/>
                  <w:b/>
                  <w:sz w:val="16"/>
                  <w:szCs w:val="16"/>
                </w:rPr>
                <w:t>https://institutnr.org/</w:t>
              </w:r>
            </w:hyperlink>
          </w:p>
          <w:p w14:paraId="648E60B1" w14:textId="452046F5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</w:p>
          <w:p w14:paraId="024F0AFC" w14:textId="0742F1DF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  <w:r w:rsidRPr="0067782C">
              <w:rPr>
                <w:b/>
                <w:color w:val="002060"/>
                <w:sz w:val="16"/>
                <w:szCs w:val="16"/>
              </w:rPr>
              <w:t>https://www.youtube.com/watch?v=dwZWb7Mzsy0</w:t>
            </w:r>
          </w:p>
          <w:p w14:paraId="3C5960D7" w14:textId="024344C5" w:rsidR="0067782C" w:rsidRDefault="0067782C" w:rsidP="0067782C">
            <w:pPr>
              <w:jc w:val="both"/>
              <w:rPr>
                <w:b/>
                <w:color w:val="002060"/>
                <w:sz w:val="16"/>
                <w:szCs w:val="16"/>
              </w:rPr>
            </w:pPr>
          </w:p>
        </w:tc>
      </w:tr>
      <w:tr w:rsidR="0067782C" w:rsidRPr="0067782C" w14:paraId="43465CDF" w14:textId="77777777" w:rsidTr="0067782C">
        <w:tc>
          <w:tcPr>
            <w:tcW w:w="2122" w:type="dxa"/>
            <w:hideMark/>
          </w:tcPr>
          <w:p w14:paraId="41B0CFA5" w14:textId="2C8BD703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 xml:space="preserve">Séance </w:t>
            </w:r>
            <w:r>
              <w:rPr>
                <w:b/>
                <w:bCs/>
                <w:color w:val="002060"/>
              </w:rPr>
              <w:t>4</w:t>
            </w:r>
            <w:r w:rsidRPr="0067782C">
              <w:rPr>
                <w:b/>
                <w:bCs/>
                <w:color w:val="002060"/>
              </w:rPr>
              <w:t xml:space="preserve"> : Présentation du concept de </w:t>
            </w:r>
            <w:proofErr w:type="spellStart"/>
            <w:r w:rsidRPr="0067782C">
              <w:rPr>
                <w:b/>
                <w:bCs/>
                <w:color w:val="002060"/>
              </w:rPr>
              <w:t>Nudge</w:t>
            </w:r>
            <w:proofErr w:type="spellEnd"/>
          </w:p>
        </w:tc>
        <w:tc>
          <w:tcPr>
            <w:tcW w:w="4536" w:type="dxa"/>
            <w:hideMark/>
          </w:tcPr>
          <w:p w14:paraId="371AC0A3" w14:textId="77777777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 xml:space="preserve">- Origine du concept : Théorie du </w:t>
            </w:r>
            <w:proofErr w:type="spellStart"/>
            <w:r w:rsidRPr="0067782C">
              <w:rPr>
                <w:color w:val="002060"/>
              </w:rPr>
              <w:t>Nudge</w:t>
            </w:r>
            <w:proofErr w:type="spellEnd"/>
            <w:r w:rsidRPr="0067782C">
              <w:rPr>
                <w:color w:val="002060"/>
              </w:rPr>
              <w:t xml:space="preserve"> par Richard Thaler et </w:t>
            </w:r>
            <w:proofErr w:type="spellStart"/>
            <w:r w:rsidRPr="0067782C">
              <w:rPr>
                <w:color w:val="002060"/>
              </w:rPr>
              <w:t>Cass</w:t>
            </w:r>
            <w:proofErr w:type="spellEnd"/>
            <w:r w:rsidRPr="0067782C">
              <w:rPr>
                <w:color w:val="002060"/>
              </w:rPr>
              <w:t xml:space="preserve"> </w:t>
            </w:r>
            <w:proofErr w:type="spellStart"/>
            <w:r w:rsidRPr="0067782C">
              <w:rPr>
                <w:color w:val="002060"/>
              </w:rPr>
              <w:t>Sunstein</w:t>
            </w:r>
            <w:proofErr w:type="spellEnd"/>
            <w:r w:rsidRPr="0067782C">
              <w:rPr>
                <w:color w:val="002060"/>
              </w:rPr>
              <w:br/>
              <w:t>- Principes fondamentaux : simplicité, attractivité, pertinence</w:t>
            </w:r>
            <w:r w:rsidRPr="0067782C">
              <w:rPr>
                <w:color w:val="002060"/>
              </w:rPr>
              <w:br/>
              <w:t xml:space="preserve">- Applications des </w:t>
            </w:r>
            <w:proofErr w:type="spellStart"/>
            <w:r w:rsidRPr="0067782C">
              <w:rPr>
                <w:color w:val="002060"/>
              </w:rPr>
              <w:t>Nudges</w:t>
            </w:r>
            <w:proofErr w:type="spellEnd"/>
            <w:r w:rsidRPr="0067782C">
              <w:rPr>
                <w:color w:val="002060"/>
              </w:rPr>
              <w:t xml:space="preserve"> dans le contexte QSE</w:t>
            </w:r>
            <w:r w:rsidRPr="0067782C">
              <w:rPr>
                <w:color w:val="002060"/>
              </w:rPr>
              <w:br/>
              <w:t>- Encourager des comportements sécuritaires</w:t>
            </w:r>
            <w:r w:rsidRPr="0067782C">
              <w:rPr>
                <w:color w:val="002060"/>
              </w:rPr>
              <w:br/>
              <w:t>- Promouvoir des pratiques respectueuses de l’environnement</w:t>
            </w:r>
            <w:r w:rsidRPr="0067782C">
              <w:rPr>
                <w:color w:val="002060"/>
              </w:rPr>
              <w:br/>
              <w:t>- Faciliter l’adoption des standards de qualité</w:t>
            </w:r>
            <w:r w:rsidRPr="0067782C">
              <w:rPr>
                <w:color w:val="002060"/>
              </w:rPr>
              <w:br/>
              <w:t xml:space="preserve">- Études de cas : Campagnes de communication </w:t>
            </w:r>
            <w:proofErr w:type="spellStart"/>
            <w:r w:rsidRPr="0067782C">
              <w:rPr>
                <w:color w:val="002060"/>
              </w:rPr>
              <w:t>Nudge</w:t>
            </w:r>
            <w:proofErr w:type="spellEnd"/>
            <w:r w:rsidRPr="0067782C">
              <w:rPr>
                <w:color w:val="002060"/>
              </w:rPr>
              <w:t xml:space="preserve"> QSE réussies</w:t>
            </w:r>
          </w:p>
        </w:tc>
        <w:tc>
          <w:tcPr>
            <w:tcW w:w="2404" w:type="dxa"/>
            <w:hideMark/>
          </w:tcPr>
          <w:p w14:paraId="768BAA98" w14:textId="58BD08B4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2" w:history="1">
              <w:r w:rsidRPr="00B47C84">
                <w:rPr>
                  <w:rStyle w:val="Lienhypertexte"/>
                  <w:b/>
                </w:rPr>
                <w:t>https://staenk.com/webmarketing/10-exemples-reussis-nudge-marketing-francaise/</w:t>
              </w:r>
            </w:hyperlink>
          </w:p>
          <w:p w14:paraId="15A872CE" w14:textId="77777777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7E09FA50" w14:textId="7F70DA81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3" w:history="1">
              <w:r w:rsidRPr="00B47C84">
                <w:rPr>
                  <w:rStyle w:val="Lienhypertexte"/>
                  <w:b/>
                </w:rPr>
                <w:t>https://www.pinterest.fr/docsmpe/nudges/</w:t>
              </w:r>
            </w:hyperlink>
          </w:p>
          <w:p w14:paraId="491EC72B" w14:textId="77777777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185D02F0" w14:textId="5FD295F0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color w:val="002060"/>
              </w:rPr>
              <w:t>https://www-sciencedirect-com.ezpaarse.univ-paris1.fr/science/article/pii/S0925753524000341?casa_token=Lhu3QzqvJXMAAAAA:iNfGYXv0PgipD-0SYAzLpAH3GsDusPdAeVvaPwpkgLC10Gc0AFCAX2RTs83lY-IstzasiuVwjw</w:t>
            </w:r>
          </w:p>
        </w:tc>
      </w:tr>
      <w:tr w:rsidR="0067782C" w:rsidRPr="0067782C" w14:paraId="083844FC" w14:textId="77777777" w:rsidTr="0067782C">
        <w:tc>
          <w:tcPr>
            <w:tcW w:w="2122" w:type="dxa"/>
            <w:hideMark/>
          </w:tcPr>
          <w:p w14:paraId="7D65ACE0" w14:textId="074A18DB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 xml:space="preserve">Séance </w:t>
            </w:r>
            <w:r>
              <w:rPr>
                <w:b/>
                <w:bCs/>
                <w:color w:val="002060"/>
              </w:rPr>
              <w:t>5</w:t>
            </w:r>
            <w:r w:rsidRPr="0067782C">
              <w:rPr>
                <w:b/>
                <w:bCs/>
                <w:color w:val="002060"/>
              </w:rPr>
              <w:t xml:space="preserve"> : La communication interne QSE</w:t>
            </w:r>
          </w:p>
        </w:tc>
        <w:tc>
          <w:tcPr>
            <w:tcW w:w="4536" w:type="dxa"/>
            <w:hideMark/>
          </w:tcPr>
          <w:p w14:paraId="40A613B9" w14:textId="77777777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Pourquoi la communication interne est essentielle pour les initiatives QSE</w:t>
            </w:r>
            <w:r w:rsidRPr="0067782C">
              <w:rPr>
                <w:color w:val="002060"/>
              </w:rPr>
              <w:br/>
              <w:t>- Objectifs de la communication interne QSE</w:t>
            </w:r>
            <w:r w:rsidRPr="0067782C">
              <w:rPr>
                <w:color w:val="002060"/>
              </w:rPr>
              <w:br/>
              <w:t>- Outils et Méthodes</w:t>
            </w:r>
            <w:r w:rsidRPr="0067782C">
              <w:rPr>
                <w:color w:val="002060"/>
              </w:rPr>
              <w:br/>
              <w:t>- Réunions d’équipe régulières</w:t>
            </w:r>
            <w:r w:rsidRPr="0067782C">
              <w:rPr>
                <w:color w:val="002060"/>
              </w:rPr>
              <w:br/>
              <w:t>- Newsletters internes et bulletins d’information</w:t>
            </w:r>
            <w:r w:rsidRPr="0067782C">
              <w:rPr>
                <w:color w:val="002060"/>
              </w:rPr>
              <w:br/>
              <w:t>- Affichages et signalétiques au sein de l’entreprise</w:t>
            </w:r>
            <w:r w:rsidRPr="0067782C">
              <w:rPr>
                <w:color w:val="002060"/>
              </w:rPr>
              <w:br/>
              <w:t>- Intranets et plateformes collaboratives</w:t>
            </w:r>
            <w:r w:rsidRPr="0067782C">
              <w:rPr>
                <w:color w:val="002060"/>
              </w:rPr>
              <w:br/>
              <w:t>- Sessions de formation et ateliers</w:t>
            </w:r>
            <w:r w:rsidRPr="0067782C">
              <w:rPr>
                <w:color w:val="002060"/>
              </w:rPr>
              <w:br/>
              <w:t xml:space="preserve">- VR et </w:t>
            </w:r>
            <w:proofErr w:type="spellStart"/>
            <w:r w:rsidRPr="0067782C">
              <w:rPr>
                <w:color w:val="002060"/>
              </w:rPr>
              <w:t>Safety</w:t>
            </w:r>
            <w:proofErr w:type="spellEnd"/>
            <w:r w:rsidRPr="0067782C">
              <w:rPr>
                <w:color w:val="002060"/>
              </w:rPr>
              <w:t xml:space="preserve"> </w:t>
            </w:r>
            <w:proofErr w:type="spellStart"/>
            <w:r w:rsidRPr="0067782C">
              <w:rPr>
                <w:color w:val="002060"/>
              </w:rPr>
              <w:t>Days</w:t>
            </w:r>
            <w:proofErr w:type="spellEnd"/>
          </w:p>
        </w:tc>
        <w:tc>
          <w:tcPr>
            <w:tcW w:w="2404" w:type="dxa"/>
            <w:hideMark/>
          </w:tcPr>
          <w:p w14:paraId="6CABAA52" w14:textId="740B709E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4" w:history="1">
              <w:r w:rsidRPr="00B47C84">
                <w:rPr>
                  <w:rStyle w:val="Lienhypertexte"/>
                  <w:b/>
                </w:rPr>
                <w:t>https://www.youtube.com/watch?v=LqiSpVaVZng</w:t>
              </w:r>
            </w:hyperlink>
          </w:p>
          <w:p w14:paraId="7C622604" w14:textId="77777777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3AFCB7A5" w14:textId="23744A7D" w:rsidR="0067782C" w:rsidRDefault="00023932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5" w:history="1">
              <w:r w:rsidRPr="00B47C84">
                <w:rPr>
                  <w:rStyle w:val="Lienhypertexte"/>
                  <w:b/>
                </w:rPr>
                <w:t>https://www.youtube.com/watch?v=k5mnaIiPgVQ</w:t>
              </w:r>
            </w:hyperlink>
          </w:p>
          <w:p w14:paraId="0C52E74A" w14:textId="77777777" w:rsidR="00023932" w:rsidRDefault="00023932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3E4F6DE8" w14:textId="48249CD7" w:rsidR="00023932" w:rsidRPr="0067782C" w:rsidRDefault="00023932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023932">
              <w:rPr>
                <w:b/>
                <w:color w:val="002060"/>
              </w:rPr>
              <w:t>https://www.reality-academy.fr/cas-dusage</w:t>
            </w:r>
          </w:p>
        </w:tc>
      </w:tr>
      <w:tr w:rsidR="0067782C" w:rsidRPr="0067782C" w14:paraId="1A082B04" w14:textId="77777777" w:rsidTr="0067782C">
        <w:tc>
          <w:tcPr>
            <w:tcW w:w="2122" w:type="dxa"/>
            <w:hideMark/>
          </w:tcPr>
          <w:p w14:paraId="71BB3A01" w14:textId="0F884779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 xml:space="preserve">Séance </w:t>
            </w:r>
            <w:r>
              <w:rPr>
                <w:b/>
                <w:bCs/>
                <w:color w:val="002060"/>
              </w:rPr>
              <w:t>6</w:t>
            </w:r>
            <w:r w:rsidRPr="0067782C">
              <w:rPr>
                <w:b/>
                <w:bCs/>
                <w:color w:val="002060"/>
              </w:rPr>
              <w:t xml:space="preserve"> : Utilisation des médias sociaux et du digital pour la promotion QSE (SEO, Social)</w:t>
            </w:r>
          </w:p>
        </w:tc>
        <w:tc>
          <w:tcPr>
            <w:tcW w:w="4536" w:type="dxa"/>
            <w:hideMark/>
          </w:tcPr>
          <w:p w14:paraId="36AD3CFD" w14:textId="77777777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SEO pour la promotion QSE</w:t>
            </w:r>
            <w:r w:rsidRPr="0067782C">
              <w:rPr>
                <w:color w:val="002060"/>
              </w:rPr>
              <w:br/>
              <w:t>- Recherche de mots-clés pertinents pour la QSE</w:t>
            </w:r>
            <w:r w:rsidRPr="0067782C">
              <w:rPr>
                <w:color w:val="002060"/>
              </w:rPr>
              <w:br/>
              <w:t>- Optimisation du contenu pour les moteurs de recherche</w:t>
            </w:r>
            <w:r w:rsidRPr="0067782C">
              <w:rPr>
                <w:color w:val="002060"/>
              </w:rPr>
              <w:br/>
              <w:t>- On-page et Off-page SEO</w:t>
            </w:r>
            <w:r w:rsidRPr="0067782C">
              <w:rPr>
                <w:color w:val="002060"/>
              </w:rPr>
              <w:br/>
              <w:t xml:space="preserve">- </w:t>
            </w:r>
            <w:proofErr w:type="spellStart"/>
            <w:r w:rsidRPr="0067782C">
              <w:rPr>
                <w:color w:val="002060"/>
              </w:rPr>
              <w:t>Backlinks</w:t>
            </w:r>
            <w:proofErr w:type="spellEnd"/>
            <w:r w:rsidRPr="0067782C">
              <w:rPr>
                <w:color w:val="002060"/>
              </w:rPr>
              <w:t xml:space="preserve"> et autorité de domaine</w:t>
            </w:r>
            <w:r w:rsidRPr="0067782C">
              <w:rPr>
                <w:color w:val="002060"/>
              </w:rPr>
              <w:br/>
              <w:t>- Stratégies de création de liens</w:t>
            </w:r>
            <w:r w:rsidRPr="0067782C">
              <w:rPr>
                <w:color w:val="002060"/>
              </w:rPr>
              <w:br/>
              <w:t>- SEO technique (Vitesse de chargement du site, Compatibilité mobile, Architecture du site et navigation)</w:t>
            </w:r>
            <w:r w:rsidRPr="0067782C">
              <w:rPr>
                <w:color w:val="002060"/>
              </w:rPr>
              <w:br/>
              <w:t>- Utilisation des médias sociaux pour la promotion QSE</w:t>
            </w:r>
            <w:r w:rsidRPr="0067782C">
              <w:rPr>
                <w:color w:val="002060"/>
              </w:rPr>
              <w:br/>
              <w:t>- Principales plateformes de médias sociaux (Facebook, Twitter, LinkedIn, Instagram, etc.)</w:t>
            </w:r>
            <w:r w:rsidRPr="0067782C">
              <w:rPr>
                <w:color w:val="002060"/>
              </w:rPr>
              <w:br/>
              <w:t>- Caractéristiques et audiences spécifiques</w:t>
            </w:r>
            <w:r w:rsidRPr="0067782C">
              <w:rPr>
                <w:color w:val="002060"/>
              </w:rPr>
              <w:br/>
              <w:t>- Stratégies de contenu pour les médias sociaux</w:t>
            </w:r>
            <w:r w:rsidRPr="0067782C">
              <w:rPr>
                <w:color w:val="002060"/>
              </w:rPr>
              <w:br/>
              <w:t>- Création de contenu engageant et informatif sur la QSE</w:t>
            </w:r>
            <w:r w:rsidRPr="0067782C">
              <w:rPr>
                <w:color w:val="002060"/>
              </w:rPr>
              <w:br/>
              <w:t>- Étude de cas et exemples pratiques</w:t>
            </w:r>
          </w:p>
        </w:tc>
        <w:tc>
          <w:tcPr>
            <w:tcW w:w="2404" w:type="dxa"/>
            <w:hideMark/>
          </w:tcPr>
          <w:p w14:paraId="739F5017" w14:textId="66C3B9FB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6" w:history="1">
              <w:r w:rsidRPr="00B47C84">
                <w:rPr>
                  <w:rStyle w:val="Lienhypertexte"/>
                  <w:b/>
                </w:rPr>
                <w:t>https://www.linkedin.com/feed/update/urn:li:activity:7207381306865795075/</w:t>
              </w:r>
            </w:hyperlink>
          </w:p>
          <w:p w14:paraId="32CF3703" w14:textId="77777777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1B13519B" w14:textId="22E56BFC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7" w:history="1">
              <w:r w:rsidRPr="00B47C84">
                <w:rPr>
                  <w:rStyle w:val="Lienhypertexte"/>
                  <w:b/>
                </w:rPr>
                <w:t>https://www.tiktok.com/@labor.safety101?lang=fr</w:t>
              </w:r>
            </w:hyperlink>
          </w:p>
          <w:p w14:paraId="2F097CDE" w14:textId="0E602FB8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</w:tc>
      </w:tr>
      <w:tr w:rsidR="0067782C" w:rsidRPr="0067782C" w14:paraId="1E9D2D69" w14:textId="77777777" w:rsidTr="0067782C">
        <w:tc>
          <w:tcPr>
            <w:tcW w:w="2122" w:type="dxa"/>
            <w:hideMark/>
          </w:tcPr>
          <w:p w14:paraId="4666EE2D" w14:textId="518D2628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 xml:space="preserve">Séance </w:t>
            </w:r>
            <w:r>
              <w:rPr>
                <w:b/>
                <w:bCs/>
                <w:color w:val="002060"/>
              </w:rPr>
              <w:t>7</w:t>
            </w:r>
            <w:r w:rsidRPr="0067782C">
              <w:rPr>
                <w:b/>
                <w:bCs/>
                <w:color w:val="002060"/>
              </w:rPr>
              <w:t xml:space="preserve"> : Mesure de la Performance Marketing QSE et indicateurs qualité</w:t>
            </w:r>
          </w:p>
        </w:tc>
        <w:tc>
          <w:tcPr>
            <w:tcW w:w="4536" w:type="dxa"/>
            <w:hideMark/>
          </w:tcPr>
          <w:p w14:paraId="75CC1740" w14:textId="77777777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Indicateurs de performance marketing liés aux initiatives QSE</w:t>
            </w:r>
            <w:r w:rsidRPr="0067782C">
              <w:rPr>
                <w:color w:val="002060"/>
              </w:rPr>
              <w:br/>
              <w:t xml:space="preserve">- Méthodes d’évaluation et de </w:t>
            </w:r>
            <w:proofErr w:type="spellStart"/>
            <w:r w:rsidRPr="0067782C">
              <w:rPr>
                <w:color w:val="002060"/>
              </w:rPr>
              <w:t>reporting</w:t>
            </w:r>
            <w:proofErr w:type="spellEnd"/>
            <w:r w:rsidRPr="0067782C">
              <w:rPr>
                <w:color w:val="002060"/>
              </w:rPr>
              <w:t xml:space="preserve"> de la performance QSE</w:t>
            </w:r>
            <w:r w:rsidRPr="0067782C">
              <w:rPr>
                <w:color w:val="002060"/>
              </w:rPr>
              <w:br/>
              <w:t>- Retour sur investissement (ROI) des campagnes marketing QSE</w:t>
            </w:r>
            <w:r w:rsidRPr="0067782C">
              <w:rPr>
                <w:color w:val="002060"/>
              </w:rPr>
              <w:br/>
              <w:t>- Études de cas : Évaluation de la performance des initiatives marketing QSE</w:t>
            </w:r>
          </w:p>
        </w:tc>
        <w:tc>
          <w:tcPr>
            <w:tcW w:w="2404" w:type="dxa"/>
            <w:hideMark/>
          </w:tcPr>
          <w:p w14:paraId="126A28DB" w14:textId="566C6D79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hyperlink r:id="rId18" w:history="1">
              <w:r w:rsidRPr="00B47C84">
                <w:rPr>
                  <w:rStyle w:val="Lienhypertexte"/>
                  <w:b/>
                </w:rPr>
                <w:t>https://blog.hubspot.fr/service/avis-clients</w:t>
              </w:r>
            </w:hyperlink>
          </w:p>
          <w:p w14:paraId="18B0AD60" w14:textId="4CF7FD5D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60BFA92E" w14:textId="77777777" w:rsid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  <w:p w14:paraId="31A4E976" w14:textId="274EBB0A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</w:p>
        </w:tc>
      </w:tr>
      <w:tr w:rsidR="0067782C" w:rsidRPr="0067782C" w14:paraId="3AEEA411" w14:textId="77777777" w:rsidTr="0067782C">
        <w:tc>
          <w:tcPr>
            <w:tcW w:w="2122" w:type="dxa"/>
            <w:hideMark/>
          </w:tcPr>
          <w:p w14:paraId="06DD25F3" w14:textId="77777777" w:rsidR="0067782C" w:rsidRPr="0067782C" w:rsidRDefault="0067782C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67782C">
              <w:rPr>
                <w:b/>
                <w:bCs/>
                <w:color w:val="002060"/>
              </w:rPr>
              <w:t>Séance 8 : Tendances et Innovations en Marketing QSE</w:t>
            </w:r>
          </w:p>
        </w:tc>
        <w:tc>
          <w:tcPr>
            <w:tcW w:w="4536" w:type="dxa"/>
            <w:hideMark/>
          </w:tcPr>
          <w:p w14:paraId="6D058E4D" w14:textId="77777777" w:rsidR="0067782C" w:rsidRPr="0067782C" w:rsidRDefault="0067782C" w:rsidP="0067782C">
            <w:pPr>
              <w:spacing w:line="259" w:lineRule="auto"/>
              <w:jc w:val="both"/>
              <w:rPr>
                <w:color w:val="002060"/>
              </w:rPr>
            </w:pPr>
            <w:r w:rsidRPr="0067782C">
              <w:rPr>
                <w:color w:val="002060"/>
              </w:rPr>
              <w:t>- Perspectives futures du marketing QSE</w:t>
            </w:r>
            <w:r w:rsidRPr="0067782C">
              <w:rPr>
                <w:color w:val="002060"/>
              </w:rPr>
              <w:br/>
              <w:t>- Études de cas : Innovations en marketing QSE</w:t>
            </w:r>
          </w:p>
        </w:tc>
        <w:tc>
          <w:tcPr>
            <w:tcW w:w="2404" w:type="dxa"/>
            <w:hideMark/>
          </w:tcPr>
          <w:p w14:paraId="09311491" w14:textId="2AC11472" w:rsidR="0067782C" w:rsidRPr="0067782C" w:rsidRDefault="004702A5" w:rsidP="0067782C">
            <w:pPr>
              <w:spacing w:line="259" w:lineRule="auto"/>
              <w:jc w:val="both"/>
              <w:rPr>
                <w:b/>
                <w:color w:val="002060"/>
              </w:rPr>
            </w:pPr>
            <w:r w:rsidRPr="004702A5">
              <w:rPr>
                <w:b/>
                <w:color w:val="002060"/>
              </w:rPr>
              <w:t>https://www.valueleaf.com/blog/future-of-marketing/</w:t>
            </w:r>
          </w:p>
        </w:tc>
      </w:tr>
      <w:tr w:rsidR="00317D15" w:rsidRPr="00317D15" w14:paraId="28EEFA4E" w14:textId="77777777" w:rsidTr="0067782C">
        <w:tc>
          <w:tcPr>
            <w:tcW w:w="2122" w:type="dxa"/>
          </w:tcPr>
          <w:p w14:paraId="003C1249" w14:textId="40978CF8" w:rsidR="00317D15" w:rsidRPr="00317D15" w:rsidRDefault="00317D15" w:rsidP="0067782C">
            <w:pPr>
              <w:jc w:val="both"/>
              <w:rPr>
                <w:b/>
                <w:bCs/>
                <w:color w:val="FF0000"/>
              </w:rPr>
            </w:pPr>
            <w:r w:rsidRPr="00317D15">
              <w:rPr>
                <w:b/>
                <w:bCs/>
                <w:color w:val="FF0000"/>
              </w:rPr>
              <w:t>Séance du 16 octobre</w:t>
            </w:r>
          </w:p>
        </w:tc>
        <w:tc>
          <w:tcPr>
            <w:tcW w:w="4536" w:type="dxa"/>
          </w:tcPr>
          <w:p w14:paraId="1B96302C" w14:textId="4E16044E" w:rsidR="00317D15" w:rsidRPr="00317D15" w:rsidRDefault="00317D15" w:rsidP="0067782C">
            <w:pPr>
              <w:jc w:val="both"/>
              <w:rPr>
                <w:b/>
                <w:color w:val="FF0000"/>
              </w:rPr>
            </w:pPr>
            <w:r w:rsidRPr="00317D15">
              <w:rPr>
                <w:b/>
                <w:color w:val="FF0000"/>
              </w:rPr>
              <w:t xml:space="preserve">Salon </w:t>
            </w:r>
            <w:proofErr w:type="spellStart"/>
            <w:r w:rsidRPr="00317D15">
              <w:rPr>
                <w:b/>
                <w:color w:val="FF0000"/>
              </w:rPr>
              <w:t>Big</w:t>
            </w:r>
            <w:proofErr w:type="spellEnd"/>
            <w:r w:rsidRPr="00317D15">
              <w:rPr>
                <w:b/>
                <w:color w:val="FF0000"/>
              </w:rPr>
              <w:t xml:space="preserve"> Data et IA</w:t>
            </w:r>
          </w:p>
        </w:tc>
        <w:tc>
          <w:tcPr>
            <w:tcW w:w="2404" w:type="dxa"/>
          </w:tcPr>
          <w:p w14:paraId="6BC2BD8F" w14:textId="626775BB" w:rsidR="00317D15" w:rsidRPr="00317D15" w:rsidRDefault="00317D15" w:rsidP="0067782C">
            <w:pPr>
              <w:jc w:val="both"/>
              <w:rPr>
                <w:b/>
                <w:color w:val="FF0000"/>
              </w:rPr>
            </w:pPr>
            <w:r w:rsidRPr="00317D15">
              <w:rPr>
                <w:b/>
                <w:color w:val="FF0000"/>
              </w:rPr>
              <w:t>https://www.bigdataparis.com/fr/pass-salon</w:t>
            </w:r>
          </w:p>
        </w:tc>
      </w:tr>
    </w:tbl>
    <w:p w14:paraId="14D5A5D4" w14:textId="77777777" w:rsidR="00EF33C1" w:rsidRPr="00385F8F" w:rsidRDefault="00EF33C1" w:rsidP="00EF33C1">
      <w:pPr>
        <w:spacing w:after="0"/>
        <w:jc w:val="both"/>
        <w:rPr>
          <w:b/>
          <w:color w:val="002060"/>
          <w:lang w:val="en-US"/>
        </w:rPr>
      </w:pPr>
    </w:p>
    <w:p w14:paraId="63477A46" w14:textId="77777777" w:rsidR="00EF33C1" w:rsidRPr="00385F8F" w:rsidRDefault="00EF33C1" w:rsidP="00EF33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  <w:lang w:val="en-US"/>
        </w:rPr>
      </w:pPr>
    </w:p>
    <w:p w14:paraId="482ABB7A" w14:textId="596F8A23" w:rsidR="00EF33C1" w:rsidRDefault="00EF33C1" w:rsidP="0052462A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  <w:r w:rsidRPr="0073471F">
        <w:rPr>
          <w:rFonts w:ascii="Times New Roman" w:eastAsia="MS Mincho" w:hAnsi="Times New Roman" w:cs="Times New Roman"/>
          <w:b/>
          <w:color w:val="002060"/>
        </w:rPr>
        <w:t xml:space="preserve">Méthode(s) pédagogique(s) </w:t>
      </w:r>
    </w:p>
    <w:p w14:paraId="430FB1B2" w14:textId="3A30ACB6" w:rsidR="00EF33C1" w:rsidRDefault="00480243" w:rsidP="00F32FC4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color w:val="002060"/>
        </w:rPr>
      </w:pPr>
      <w:r w:rsidRPr="00480243">
        <w:rPr>
          <w:rFonts w:ascii="Times New Roman" w:eastAsia="MS Mincho" w:hAnsi="Times New Roman" w:cs="Times New Roman"/>
          <w:color w:val="002060"/>
        </w:rPr>
        <w:t xml:space="preserve">Alternance de cours et cas pratiques. Un focus particulier sera fait sur les outils digitaux. </w:t>
      </w:r>
    </w:p>
    <w:p w14:paraId="6834AC2A" w14:textId="40E7A0B5" w:rsidR="00F32FC4" w:rsidRDefault="00F32FC4" w:rsidP="0052462A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</w:p>
    <w:p w14:paraId="110D17B9" w14:textId="50692D62" w:rsidR="00F32FC4" w:rsidRDefault="00F32FC4" w:rsidP="0052462A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  <w:r>
        <w:rPr>
          <w:rFonts w:ascii="Times New Roman" w:eastAsia="MS Mincho" w:hAnsi="Times New Roman" w:cs="Times New Roman"/>
          <w:b/>
          <w:color w:val="002060"/>
        </w:rPr>
        <w:t xml:space="preserve">Le cas Fil rouge sera constitué de </w:t>
      </w:r>
      <w:r w:rsidR="00A63C6E">
        <w:rPr>
          <w:rFonts w:ascii="Times New Roman" w:eastAsia="MS Mincho" w:hAnsi="Times New Roman" w:cs="Times New Roman"/>
          <w:b/>
          <w:color w:val="002060"/>
        </w:rPr>
        <w:t>9</w:t>
      </w:r>
      <w:r w:rsidR="00B90961">
        <w:rPr>
          <w:rFonts w:ascii="Times New Roman" w:eastAsia="MS Mincho" w:hAnsi="Times New Roman" w:cs="Times New Roman"/>
          <w:b/>
          <w:color w:val="002060"/>
        </w:rPr>
        <w:t xml:space="preserve"> </w:t>
      </w:r>
      <w:r>
        <w:rPr>
          <w:rFonts w:ascii="Times New Roman" w:eastAsia="MS Mincho" w:hAnsi="Times New Roman" w:cs="Times New Roman"/>
          <w:b/>
          <w:color w:val="002060"/>
        </w:rPr>
        <w:t xml:space="preserve">cas </w:t>
      </w:r>
      <w:r w:rsidR="008D0679">
        <w:rPr>
          <w:rFonts w:ascii="Times New Roman" w:eastAsia="MS Mincho" w:hAnsi="Times New Roman" w:cs="Times New Roman"/>
          <w:b/>
          <w:color w:val="002060"/>
        </w:rPr>
        <w:t>choisis en équipe</w:t>
      </w:r>
      <w:r>
        <w:rPr>
          <w:rFonts w:ascii="Times New Roman" w:eastAsia="MS Mincho" w:hAnsi="Times New Roman" w:cs="Times New Roman"/>
          <w:b/>
          <w:color w:val="002060"/>
        </w:rPr>
        <w:t xml:space="preserve">. </w:t>
      </w:r>
    </w:p>
    <w:p w14:paraId="79028113" w14:textId="6959B700" w:rsidR="00625AB1" w:rsidRPr="00625AB1" w:rsidRDefault="00EE6FD9" w:rsidP="00625AB1">
      <w:pPr>
        <w:pStyle w:val="NormalWeb"/>
        <w:spacing w:before="77" w:beforeAutospacing="0" w:after="120" w:afterAutospacing="0"/>
        <w:rPr>
          <w:rFonts w:eastAsia="Times New Roman"/>
        </w:rPr>
      </w:pPr>
      <w:r>
        <w:rPr>
          <w:rFonts w:eastAsia="MS Mincho"/>
          <w:b/>
          <w:color w:val="002060"/>
        </w:rPr>
        <w:tab/>
      </w:r>
      <w:r w:rsidR="008D0679">
        <w:rPr>
          <w:rFonts w:eastAsia="MS Mincho"/>
          <w:b/>
          <w:color w:val="002060"/>
        </w:rPr>
        <w:t xml:space="preserve">Sélection des licornes à impact : </w:t>
      </w:r>
      <w:r w:rsidR="008D0679" w:rsidRPr="008D0679">
        <w:rPr>
          <w:rFonts w:eastAsia="MS Mincho"/>
          <w:b/>
          <w:color w:val="002060"/>
        </w:rPr>
        <w:t>https://www.impactfrance.eco/impact40</w:t>
      </w:r>
    </w:p>
    <w:p w14:paraId="648D6CE0" w14:textId="77777777" w:rsidR="00162CC1" w:rsidRPr="0073471F" w:rsidRDefault="00162CC1" w:rsidP="00162CC1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i/>
          <w:color w:val="002060"/>
        </w:rPr>
      </w:pPr>
    </w:p>
    <w:p w14:paraId="524D69C1" w14:textId="77777777" w:rsidR="00F32FC4" w:rsidRPr="0073471F" w:rsidRDefault="00F32FC4" w:rsidP="00F32FC4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  <w:r w:rsidRPr="0073471F">
        <w:rPr>
          <w:rFonts w:ascii="Times New Roman" w:eastAsia="MS Mincho" w:hAnsi="Times New Roman" w:cs="Times New Roman"/>
          <w:b/>
          <w:color w:val="002060"/>
        </w:rPr>
        <w:t xml:space="preserve">Références bibliographiques </w:t>
      </w:r>
    </w:p>
    <w:p w14:paraId="7EDEE5A1" w14:textId="77777777" w:rsidR="00F32FC4" w:rsidRPr="00441D4F" w:rsidRDefault="00F32FC4" w:rsidP="00F32FC4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</w:rPr>
      </w:pPr>
      <w:r w:rsidRPr="00441D4F">
        <w:rPr>
          <w:rFonts w:ascii="Times New Roman" w:eastAsia="MS Mincho" w:hAnsi="Times New Roman" w:cs="Times New Roman"/>
          <w:color w:val="002060"/>
        </w:rPr>
        <w:t>La boîte à outils en Santé-Sécurité-Environnement - 3e éd. - 64 outils et méthodes: 64 outils et méthodes</w:t>
      </w:r>
    </w:p>
    <w:p w14:paraId="481C4D7F" w14:textId="77777777" w:rsidR="00F32FC4" w:rsidRDefault="00F32FC4" w:rsidP="00F32FC4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</w:rPr>
      </w:pPr>
      <w:r w:rsidRPr="00441D4F">
        <w:rPr>
          <w:rFonts w:ascii="Times New Roman" w:eastAsia="MS Mincho" w:hAnsi="Times New Roman" w:cs="Times New Roman"/>
          <w:color w:val="002060"/>
        </w:rPr>
        <w:t>Gillet-</w:t>
      </w:r>
      <w:proofErr w:type="spellStart"/>
      <w:r w:rsidRPr="00441D4F">
        <w:rPr>
          <w:rFonts w:ascii="Times New Roman" w:eastAsia="MS Mincho" w:hAnsi="Times New Roman" w:cs="Times New Roman"/>
          <w:color w:val="002060"/>
        </w:rPr>
        <w:t>Goinard</w:t>
      </w:r>
      <w:proofErr w:type="spellEnd"/>
      <w:r w:rsidRPr="00441D4F">
        <w:rPr>
          <w:rFonts w:ascii="Times New Roman" w:eastAsia="MS Mincho" w:hAnsi="Times New Roman" w:cs="Times New Roman"/>
          <w:color w:val="002060"/>
        </w:rPr>
        <w:t>, Florence</w:t>
      </w:r>
    </w:p>
    <w:p w14:paraId="00D5CC4B" w14:textId="7CE18382" w:rsidR="00F32FC4" w:rsidRDefault="00F32FC4" w:rsidP="00F32FC4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</w:rPr>
      </w:pPr>
      <w:r w:rsidRPr="00B91E40">
        <w:rPr>
          <w:rFonts w:ascii="Times New Roman" w:eastAsia="MS Mincho" w:hAnsi="Times New Roman" w:cs="Times New Roman"/>
          <w:color w:val="002060"/>
        </w:rPr>
        <w:t>La boîte à outils du chef de projet - 2e éd. -74 outils clés en main + 12 vidéos d'approfondi</w:t>
      </w:r>
      <w:r>
        <w:rPr>
          <w:rFonts w:ascii="Times New Roman" w:eastAsia="MS Mincho" w:hAnsi="Times New Roman" w:cs="Times New Roman"/>
          <w:color w:val="002060"/>
        </w:rPr>
        <w:t xml:space="preserve">ssement: 74 outils clés en main, </w:t>
      </w:r>
      <w:r w:rsidRPr="00B91E40">
        <w:rPr>
          <w:rFonts w:ascii="Times New Roman" w:eastAsia="MS Mincho" w:hAnsi="Times New Roman" w:cs="Times New Roman"/>
          <w:color w:val="002060"/>
        </w:rPr>
        <w:t>Maes, Jérôme</w:t>
      </w:r>
    </w:p>
    <w:p w14:paraId="250B13D8" w14:textId="2FFBEFF8" w:rsidR="00F32FC4" w:rsidRDefault="00F32FC4" w:rsidP="00F32FC4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</w:rPr>
      </w:pPr>
      <w:r w:rsidRPr="00F32FC4">
        <w:rPr>
          <w:rFonts w:ascii="Times New Roman" w:eastAsia="MS Mincho" w:hAnsi="Times New Roman" w:cs="Times New Roman"/>
          <w:color w:val="002060"/>
        </w:rPr>
        <w:t>VOLLE, Pierre et SCHOUTEN, John. Marketing (plus) durable. De Boeck Supérieur, 2022.</w:t>
      </w:r>
    </w:p>
    <w:p w14:paraId="6F31CF4A" w14:textId="1FFE18FB" w:rsidR="0067782C" w:rsidRPr="0073471F" w:rsidRDefault="0067782C" w:rsidP="00F32FC4">
      <w:pPr>
        <w:tabs>
          <w:tab w:val="left" w:pos="1545"/>
        </w:tabs>
        <w:spacing w:after="0" w:line="240" w:lineRule="auto"/>
        <w:jc w:val="both"/>
        <w:rPr>
          <w:rFonts w:ascii="Times New Roman" w:eastAsia="MS Mincho" w:hAnsi="Times New Roman" w:cs="Times New Roman"/>
          <w:color w:val="002060"/>
        </w:rPr>
      </w:pPr>
      <w:r>
        <w:rPr>
          <w:rFonts w:ascii="Times New Roman" w:eastAsia="MS Mincho" w:hAnsi="Times New Roman" w:cs="Times New Roman"/>
          <w:color w:val="002060"/>
        </w:rPr>
        <w:t xml:space="preserve">Des livres blancs illustrent chaque séance. </w:t>
      </w:r>
    </w:p>
    <w:p w14:paraId="5ECB71D2" w14:textId="77777777" w:rsidR="00F32FC4" w:rsidRDefault="00F32FC4" w:rsidP="00F32FC4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</w:p>
    <w:p w14:paraId="3504FA98" w14:textId="63A8D39F" w:rsidR="00F32FC4" w:rsidRPr="0073471F" w:rsidRDefault="00F32FC4" w:rsidP="00F32FC4">
      <w:pPr>
        <w:tabs>
          <w:tab w:val="left" w:pos="1545"/>
        </w:tabs>
        <w:spacing w:after="0" w:line="240" w:lineRule="auto"/>
        <w:jc w:val="both"/>
        <w:outlineLvl w:val="0"/>
        <w:rPr>
          <w:rFonts w:ascii="Times New Roman" w:eastAsia="MS Mincho" w:hAnsi="Times New Roman" w:cs="Times New Roman"/>
          <w:b/>
          <w:color w:val="002060"/>
        </w:rPr>
      </w:pPr>
      <w:r>
        <w:rPr>
          <w:rFonts w:ascii="Times New Roman" w:eastAsia="MS Mincho" w:hAnsi="Times New Roman" w:cs="Times New Roman"/>
          <w:b/>
          <w:color w:val="002060"/>
        </w:rPr>
        <w:t>Mode</w:t>
      </w:r>
      <w:r w:rsidRPr="0073471F">
        <w:rPr>
          <w:rFonts w:ascii="Times New Roman" w:eastAsia="MS Mincho" w:hAnsi="Times New Roman" w:cs="Times New Roman"/>
          <w:b/>
          <w:color w:val="002060"/>
        </w:rPr>
        <w:t xml:space="preserve"> d’évaluation </w:t>
      </w:r>
    </w:p>
    <w:p w14:paraId="0F70563B" w14:textId="77777777" w:rsidR="00F32FC4" w:rsidRDefault="00F32FC4" w:rsidP="00F32FC4">
      <w:pPr>
        <w:jc w:val="both"/>
        <w:rPr>
          <w:rFonts w:ascii="Times New Roman" w:eastAsia="MS Mincho" w:hAnsi="Times New Roman" w:cs="Times New Roman"/>
          <w:color w:val="002060"/>
        </w:rPr>
      </w:pPr>
      <w:r w:rsidRPr="00B91E40">
        <w:rPr>
          <w:rFonts w:ascii="Times New Roman" w:eastAsia="MS Mincho" w:hAnsi="Times New Roman" w:cs="Times New Roman"/>
          <w:color w:val="002060"/>
        </w:rPr>
        <w:t xml:space="preserve">Contrôle continu : </w:t>
      </w:r>
      <w:r>
        <w:rPr>
          <w:rFonts w:ascii="Times New Roman" w:eastAsia="MS Mincho" w:hAnsi="Times New Roman" w:cs="Times New Roman"/>
          <w:color w:val="002060"/>
        </w:rPr>
        <w:t xml:space="preserve">50% de la note de l’UE, </w:t>
      </w:r>
      <w:r w:rsidRPr="00B91E40">
        <w:rPr>
          <w:rFonts w:ascii="Times New Roman" w:eastAsia="MS Mincho" w:hAnsi="Times New Roman" w:cs="Times New Roman"/>
          <w:color w:val="002060"/>
        </w:rPr>
        <w:t xml:space="preserve">cas </w:t>
      </w:r>
      <w:r>
        <w:rPr>
          <w:rFonts w:ascii="Times New Roman" w:eastAsia="MS Mincho" w:hAnsi="Times New Roman" w:cs="Times New Roman"/>
          <w:color w:val="002060"/>
        </w:rPr>
        <w:t>« Fil Rouge »</w:t>
      </w:r>
    </w:p>
    <w:p w14:paraId="14DB02A1" w14:textId="701EC191" w:rsidR="00F32FC4" w:rsidRDefault="00F32FC4" w:rsidP="00F32FC4">
      <w:pPr>
        <w:jc w:val="both"/>
        <w:rPr>
          <w:rFonts w:ascii="Times New Roman" w:eastAsia="MS Mincho" w:hAnsi="Times New Roman" w:cs="Times New Roman"/>
          <w:color w:val="002060"/>
        </w:rPr>
      </w:pPr>
      <w:r w:rsidRPr="00B91E40">
        <w:rPr>
          <w:rFonts w:ascii="Times New Roman" w:eastAsia="MS Mincho" w:hAnsi="Times New Roman" w:cs="Times New Roman"/>
          <w:color w:val="002060"/>
        </w:rPr>
        <w:t>Examen final : 50% de la note de l'UE</w:t>
      </w:r>
    </w:p>
    <w:p w14:paraId="31008B01" w14:textId="77777777" w:rsidR="00F32FC4" w:rsidRDefault="00F32FC4" w:rsidP="00F32FC4">
      <w:pPr>
        <w:jc w:val="both"/>
        <w:rPr>
          <w:rFonts w:ascii="Times New Roman" w:eastAsia="MS Mincho" w:hAnsi="Times New Roman" w:cs="Times New Roman"/>
          <w:color w:val="002060"/>
        </w:rPr>
      </w:pPr>
    </w:p>
    <w:p w14:paraId="3960B980" w14:textId="77777777" w:rsidR="00710F5E" w:rsidRPr="00507D40" w:rsidRDefault="00162CC1" w:rsidP="00507D40">
      <w:pPr>
        <w:jc w:val="center"/>
        <w:rPr>
          <w:b/>
          <w:color w:val="002060"/>
          <w:u w:val="single"/>
        </w:rPr>
      </w:pPr>
      <w:r w:rsidRPr="0073471F">
        <w:rPr>
          <w:b/>
          <w:color w:val="002060"/>
        </w:rPr>
        <w:t xml:space="preserve">    </w:t>
      </w:r>
    </w:p>
    <w:sectPr w:rsidR="00710F5E" w:rsidRPr="00507D40" w:rsidSect="005C3CC4">
      <w:headerReference w:type="even" r:id="rId19"/>
      <w:headerReference w:type="default" r:id="rId20"/>
      <w:footerReference w:type="default" r:id="rId21"/>
      <w:headerReference w:type="firs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59F19D" w14:textId="77777777" w:rsidR="0075695A" w:rsidRDefault="0075695A" w:rsidP="00C56F67">
      <w:pPr>
        <w:spacing w:after="0" w:line="240" w:lineRule="auto"/>
      </w:pPr>
      <w:r>
        <w:separator/>
      </w:r>
    </w:p>
  </w:endnote>
  <w:endnote w:type="continuationSeparator" w:id="0">
    <w:p w14:paraId="508508DE" w14:textId="77777777" w:rsidR="0075695A" w:rsidRDefault="0075695A" w:rsidP="00C56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2DD38" w14:textId="77777777" w:rsidR="000233A7" w:rsidRPr="000233A7" w:rsidRDefault="000233A7" w:rsidP="000233A7">
    <w:pPr>
      <w:tabs>
        <w:tab w:val="center" w:pos="4536"/>
        <w:tab w:val="right" w:pos="9072"/>
      </w:tabs>
      <w:spacing w:after="0" w:line="240" w:lineRule="auto"/>
      <w:rPr>
        <w:rFonts w:ascii="Calibri" w:eastAsia="MS Mincho" w:hAnsi="Calibri" w:cs="Arial"/>
        <w:lang w:eastAsia="fr-FR"/>
      </w:rPr>
    </w:pPr>
    <w:r w:rsidRPr="000233A7">
      <w:rPr>
        <w:rFonts w:ascii="Calibri" w:eastAsia="MS Mincho" w:hAnsi="Calibri" w:cs="Arial"/>
        <w:noProof/>
        <w:lang w:eastAsia="fr-FR"/>
      </w:rPr>
      <w:drawing>
        <wp:inline distT="0" distB="0" distL="0" distR="0" wp14:anchorId="526D987E" wp14:editId="517FE9DF">
          <wp:extent cx="987425" cy="670560"/>
          <wp:effectExtent l="0" t="0" r="317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8D3510" w14:textId="77777777" w:rsidR="000233A7" w:rsidRPr="000233A7" w:rsidRDefault="000233A7" w:rsidP="000233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3AAEE7" w14:textId="77777777" w:rsidR="0075695A" w:rsidRDefault="0075695A" w:rsidP="00C56F67">
      <w:pPr>
        <w:spacing w:after="0" w:line="240" w:lineRule="auto"/>
      </w:pPr>
      <w:r>
        <w:separator/>
      </w:r>
    </w:p>
  </w:footnote>
  <w:footnote w:type="continuationSeparator" w:id="0">
    <w:p w14:paraId="3A01B61D" w14:textId="77777777" w:rsidR="0075695A" w:rsidRDefault="0075695A" w:rsidP="00C56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619DCC" w14:textId="77777777" w:rsidR="00162CC1" w:rsidRDefault="0075695A">
    <w:pPr>
      <w:pStyle w:val="En-tte"/>
    </w:pPr>
    <w:r>
      <w:rPr>
        <w:noProof/>
      </w:rPr>
      <w:pict w14:anchorId="679DE7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76644" o:spid="_x0000_s2050" type="#_x0000_t136" alt="" style="position:absolute;margin-left:0;margin-top:0;width:511.6pt;height:127.9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ed7d31 [3205]" stroked="f">
          <v:fill opacity=".5"/>
          <v:textpath style="font-family:&quot;Calibri&quot;;font-size:1pt" string="MODE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8501BC" w14:textId="77777777" w:rsidR="000233A7" w:rsidRPr="000233A7" w:rsidRDefault="000233A7" w:rsidP="000233A7">
    <w:pPr>
      <w:tabs>
        <w:tab w:val="center" w:pos="4536"/>
        <w:tab w:val="right" w:pos="9072"/>
      </w:tabs>
      <w:spacing w:after="0" w:line="240" w:lineRule="auto"/>
      <w:rPr>
        <w:rFonts w:ascii="Calibri" w:eastAsia="MS Mincho" w:hAnsi="Calibri" w:cs="Arial"/>
        <w:lang w:eastAsia="fr-FR"/>
      </w:rPr>
    </w:pPr>
    <w:r w:rsidRPr="000233A7">
      <w:rPr>
        <w:rFonts w:ascii="Tahoma" w:eastAsia="MS Mincho" w:hAnsi="Tahoma" w:cs="Tahoma"/>
        <w:b/>
        <w:noProof/>
        <w:sz w:val="40"/>
        <w:szCs w:val="40"/>
        <w:lang w:eastAsia="fr-FR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8A07425" wp14:editId="4E948A07">
              <wp:simplePos x="0" y="0"/>
              <wp:positionH relativeFrom="column">
                <wp:posOffset>5414010</wp:posOffset>
              </wp:positionH>
              <wp:positionV relativeFrom="paragraph">
                <wp:posOffset>770255</wp:posOffset>
              </wp:positionV>
              <wp:extent cx="533249" cy="551847"/>
              <wp:effectExtent l="0" t="0" r="635" b="635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3249" cy="551847"/>
                      </a:xfrm>
                      <a:prstGeom prst="rect">
                        <a:avLst/>
                      </a:prstGeom>
                      <a:solidFill>
                        <a:srgbClr val="E78925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49D08B81" id="Rectangle 9" o:spid="_x0000_s1026" style="position:absolute;margin-left:426.3pt;margin-top:60.65pt;width:42pt;height:43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" fillcolor="#e78925" stroked="f" strokeweight="2pt"/>
          </w:pict>
        </mc:Fallback>
      </mc:AlternateContent>
    </w:r>
    <w:r w:rsidRPr="000233A7">
      <w:rPr>
        <w:rFonts w:ascii="Calibri" w:eastAsia="MS Mincho" w:hAnsi="Calibri" w:cs="Arial"/>
        <w:noProof/>
        <w:lang w:eastAsia="fr-FR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3801F89" wp14:editId="5546A150">
              <wp:simplePos x="0" y="0"/>
              <wp:positionH relativeFrom="column">
                <wp:posOffset>4823460</wp:posOffset>
              </wp:positionH>
              <wp:positionV relativeFrom="paragraph">
                <wp:posOffset>130810</wp:posOffset>
              </wp:positionV>
              <wp:extent cx="1123632" cy="551847"/>
              <wp:effectExtent l="0" t="0" r="635" b="635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23632" cy="551847"/>
                      </a:xfrm>
                      <a:prstGeom prst="rect">
                        <a:avLst/>
                      </a:prstGeom>
                      <a:solidFill>
                        <a:srgbClr val="0D3B5E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5DB6E94" id="Rectangle 8" o:spid="_x0000_s1026" style="position:absolute;margin-left:379.8pt;margin-top:10.3pt;width:88.45pt;height:43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" fillcolor="#0d3b5e" stroked="f" strokeweight="2pt"/>
          </w:pict>
        </mc:Fallback>
      </mc:AlternateContent>
    </w:r>
    <w:r w:rsidRPr="000233A7">
      <w:rPr>
        <w:rFonts w:ascii="Calibri" w:eastAsia="MS Mincho" w:hAnsi="Calibri" w:cs="Arial"/>
        <w:noProof/>
        <w:lang w:eastAsia="fr-FR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1A74C0A" wp14:editId="5A1CC42B">
              <wp:simplePos x="0" y="0"/>
              <wp:positionH relativeFrom="column">
                <wp:posOffset>4185285</wp:posOffset>
              </wp:positionH>
              <wp:positionV relativeFrom="paragraph">
                <wp:posOffset>130810</wp:posOffset>
              </wp:positionV>
              <wp:extent cx="533249" cy="551847"/>
              <wp:effectExtent l="0" t="0" r="635" b="635"/>
              <wp:wrapNone/>
              <wp:docPr id="10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3249" cy="551847"/>
                      </a:xfrm>
                      <a:prstGeom prst="rect">
                        <a:avLst/>
                      </a:prstGeom>
                      <a:solidFill>
                        <a:srgbClr val="E78925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881F15E" id="Rectangle 10" o:spid="_x0000_s1026" style="position:absolute;margin-left:329.55pt;margin-top:10.3pt;width:42pt;height:43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" fillcolor="#e78925" stroked="f" strokeweight="2pt"/>
          </w:pict>
        </mc:Fallback>
      </mc:AlternateContent>
    </w:r>
    <w:r w:rsidRPr="000233A7">
      <w:rPr>
        <w:rFonts w:ascii="Calibri" w:eastAsia="MS Mincho" w:hAnsi="Calibri" w:cs="Arial"/>
        <w:noProof/>
        <w:lang w:eastAsia="fr-FR"/>
      </w:rPr>
      <w:drawing>
        <wp:inline distT="0" distB="0" distL="0" distR="0" wp14:anchorId="1C9E89BA" wp14:editId="091671D3">
          <wp:extent cx="2771775" cy="1144270"/>
          <wp:effectExtent l="0" t="0" r="9525" b="0"/>
          <wp:docPr id="2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1144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233A7">
      <w:rPr>
        <w:rFonts w:ascii="Calibri" w:eastAsia="MS Mincho" w:hAnsi="Calibri" w:cs="Arial"/>
        <w:lang w:eastAsia="fr-FR"/>
      </w:rPr>
      <w:tab/>
    </w:r>
  </w:p>
  <w:p w14:paraId="4EE14C7F" w14:textId="7BE5EABC" w:rsidR="00C56F67" w:rsidRPr="000233A7" w:rsidRDefault="00C56F67" w:rsidP="000233A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FF3108" w14:textId="77777777" w:rsidR="00162CC1" w:rsidRDefault="0075695A">
    <w:pPr>
      <w:pStyle w:val="En-tte"/>
    </w:pPr>
    <w:r>
      <w:rPr>
        <w:noProof/>
      </w:rPr>
      <w:pict w14:anchorId="7C8E05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76643" o:spid="_x0000_s2049" type="#_x0000_t136" alt="" style="position:absolute;margin-left:0;margin-top:0;width:511.6pt;height:127.9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ed7d31 [3205]" stroked="f">
          <v:fill opacity=".5"/>
          <v:textpath style="font-family:&quot;Calibri&quot;;font-size:1pt" string="MODE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2327"/>
    <w:multiLevelType w:val="hybridMultilevel"/>
    <w:tmpl w:val="204693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75CA9"/>
    <w:multiLevelType w:val="hybridMultilevel"/>
    <w:tmpl w:val="FA66D5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0497C"/>
    <w:multiLevelType w:val="hybridMultilevel"/>
    <w:tmpl w:val="E0DE614A"/>
    <w:lvl w:ilvl="0" w:tplc="6CF69984">
      <w:start w:val="2"/>
      <w:numFmt w:val="bullet"/>
      <w:lvlText w:val="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616E1"/>
    <w:multiLevelType w:val="hybridMultilevel"/>
    <w:tmpl w:val="34085EF0"/>
    <w:lvl w:ilvl="0" w:tplc="6E88AF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56407"/>
    <w:multiLevelType w:val="hybridMultilevel"/>
    <w:tmpl w:val="F91A2228"/>
    <w:lvl w:ilvl="0" w:tplc="32A8D0CE">
      <w:start w:val="2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624DE"/>
    <w:multiLevelType w:val="hybridMultilevel"/>
    <w:tmpl w:val="1D824C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B18B9"/>
    <w:multiLevelType w:val="hybridMultilevel"/>
    <w:tmpl w:val="468E39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0A0AF7"/>
    <w:multiLevelType w:val="hybridMultilevel"/>
    <w:tmpl w:val="9D9C03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D2125E"/>
    <w:multiLevelType w:val="hybridMultilevel"/>
    <w:tmpl w:val="42F4E5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C42BB0"/>
    <w:multiLevelType w:val="hybridMultilevel"/>
    <w:tmpl w:val="751AF3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9"/>
  </w:num>
  <w:num w:numId="7">
    <w:abstractNumId w:val="5"/>
  </w:num>
  <w:num w:numId="8">
    <w:abstractNumId w:val="0"/>
  </w:num>
  <w:num w:numId="9">
    <w:abstractNumId w:val="4"/>
  </w:num>
  <w:num w:numId="10">
    <w:abstractNumId w:val="2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F67"/>
    <w:rsid w:val="000233A7"/>
    <w:rsid w:val="00023932"/>
    <w:rsid w:val="000310BF"/>
    <w:rsid w:val="000869C1"/>
    <w:rsid w:val="00087C77"/>
    <w:rsid w:val="000C7460"/>
    <w:rsid w:val="000D5A0D"/>
    <w:rsid w:val="000D7E08"/>
    <w:rsid w:val="000F6138"/>
    <w:rsid w:val="00105B9A"/>
    <w:rsid w:val="00106247"/>
    <w:rsid w:val="00117132"/>
    <w:rsid w:val="00123AF8"/>
    <w:rsid w:val="00162CC1"/>
    <w:rsid w:val="0017438B"/>
    <w:rsid w:val="00177F0B"/>
    <w:rsid w:val="0019006A"/>
    <w:rsid w:val="0019581D"/>
    <w:rsid w:val="001A37FB"/>
    <w:rsid w:val="001A3D14"/>
    <w:rsid w:val="001D208C"/>
    <w:rsid w:val="001D50F6"/>
    <w:rsid w:val="001D57DE"/>
    <w:rsid w:val="001E3761"/>
    <w:rsid w:val="001F12A2"/>
    <w:rsid w:val="001F59D2"/>
    <w:rsid w:val="00215D53"/>
    <w:rsid w:val="002235D9"/>
    <w:rsid w:val="00261E48"/>
    <w:rsid w:val="002755E9"/>
    <w:rsid w:val="00292B0E"/>
    <w:rsid w:val="002B0184"/>
    <w:rsid w:val="002B01C9"/>
    <w:rsid w:val="002D5C1A"/>
    <w:rsid w:val="003065D4"/>
    <w:rsid w:val="0031579D"/>
    <w:rsid w:val="00317D15"/>
    <w:rsid w:val="00333916"/>
    <w:rsid w:val="00344473"/>
    <w:rsid w:val="003718B5"/>
    <w:rsid w:val="00385F8F"/>
    <w:rsid w:val="0039376F"/>
    <w:rsid w:val="003A0EF5"/>
    <w:rsid w:val="003D00AE"/>
    <w:rsid w:val="003F1DE8"/>
    <w:rsid w:val="004078E3"/>
    <w:rsid w:val="00417EEC"/>
    <w:rsid w:val="00441D4F"/>
    <w:rsid w:val="004702A5"/>
    <w:rsid w:val="00480243"/>
    <w:rsid w:val="004907C3"/>
    <w:rsid w:val="004A48D6"/>
    <w:rsid w:val="004C07FD"/>
    <w:rsid w:val="004D5614"/>
    <w:rsid w:val="00507D40"/>
    <w:rsid w:val="0052462A"/>
    <w:rsid w:val="00552A23"/>
    <w:rsid w:val="00565346"/>
    <w:rsid w:val="005850F9"/>
    <w:rsid w:val="0059299C"/>
    <w:rsid w:val="005C3CC4"/>
    <w:rsid w:val="006207A3"/>
    <w:rsid w:val="00623F4B"/>
    <w:rsid w:val="00625AB1"/>
    <w:rsid w:val="00627C64"/>
    <w:rsid w:val="00632800"/>
    <w:rsid w:val="00663A13"/>
    <w:rsid w:val="0067782C"/>
    <w:rsid w:val="00697590"/>
    <w:rsid w:val="006A2745"/>
    <w:rsid w:val="006B31D0"/>
    <w:rsid w:val="006C3810"/>
    <w:rsid w:val="006F0B34"/>
    <w:rsid w:val="00707DEB"/>
    <w:rsid w:val="00710F5E"/>
    <w:rsid w:val="00722F45"/>
    <w:rsid w:val="0075695A"/>
    <w:rsid w:val="00756C77"/>
    <w:rsid w:val="0076027C"/>
    <w:rsid w:val="007646A0"/>
    <w:rsid w:val="00783702"/>
    <w:rsid w:val="00797F79"/>
    <w:rsid w:val="007C202A"/>
    <w:rsid w:val="007C2F1B"/>
    <w:rsid w:val="007D18F8"/>
    <w:rsid w:val="007E399E"/>
    <w:rsid w:val="007E43DD"/>
    <w:rsid w:val="0080485A"/>
    <w:rsid w:val="00837E88"/>
    <w:rsid w:val="00840F41"/>
    <w:rsid w:val="008471F4"/>
    <w:rsid w:val="00871AAB"/>
    <w:rsid w:val="008866D7"/>
    <w:rsid w:val="0089768E"/>
    <w:rsid w:val="008A107E"/>
    <w:rsid w:val="008D0679"/>
    <w:rsid w:val="008E4A25"/>
    <w:rsid w:val="008F3334"/>
    <w:rsid w:val="00913910"/>
    <w:rsid w:val="00926F31"/>
    <w:rsid w:val="009444D4"/>
    <w:rsid w:val="00945B7C"/>
    <w:rsid w:val="00946D56"/>
    <w:rsid w:val="00981009"/>
    <w:rsid w:val="0098752D"/>
    <w:rsid w:val="00990D63"/>
    <w:rsid w:val="0099458A"/>
    <w:rsid w:val="009D5B4E"/>
    <w:rsid w:val="00A13A94"/>
    <w:rsid w:val="00A50042"/>
    <w:rsid w:val="00A63C6E"/>
    <w:rsid w:val="00A71F15"/>
    <w:rsid w:val="00A85095"/>
    <w:rsid w:val="00AA0BA7"/>
    <w:rsid w:val="00AA71BD"/>
    <w:rsid w:val="00AC39BE"/>
    <w:rsid w:val="00B20D0A"/>
    <w:rsid w:val="00B36E40"/>
    <w:rsid w:val="00B41A47"/>
    <w:rsid w:val="00B43315"/>
    <w:rsid w:val="00B56F97"/>
    <w:rsid w:val="00B90961"/>
    <w:rsid w:val="00B91E40"/>
    <w:rsid w:val="00BD0CD9"/>
    <w:rsid w:val="00BE1DF5"/>
    <w:rsid w:val="00C56F67"/>
    <w:rsid w:val="00C67CF6"/>
    <w:rsid w:val="00C73C95"/>
    <w:rsid w:val="00C86217"/>
    <w:rsid w:val="00CB2EBC"/>
    <w:rsid w:val="00CB536E"/>
    <w:rsid w:val="00CC5EFD"/>
    <w:rsid w:val="00CD6992"/>
    <w:rsid w:val="00CD7C58"/>
    <w:rsid w:val="00D045DA"/>
    <w:rsid w:val="00D07396"/>
    <w:rsid w:val="00D473C3"/>
    <w:rsid w:val="00D84048"/>
    <w:rsid w:val="00D84623"/>
    <w:rsid w:val="00D922C0"/>
    <w:rsid w:val="00D94C81"/>
    <w:rsid w:val="00DA7A0A"/>
    <w:rsid w:val="00DC047F"/>
    <w:rsid w:val="00DD0C34"/>
    <w:rsid w:val="00DE1C77"/>
    <w:rsid w:val="00E02DDD"/>
    <w:rsid w:val="00E037EF"/>
    <w:rsid w:val="00E0682C"/>
    <w:rsid w:val="00E42DB3"/>
    <w:rsid w:val="00E51F07"/>
    <w:rsid w:val="00E52ED1"/>
    <w:rsid w:val="00E56C39"/>
    <w:rsid w:val="00ED69AA"/>
    <w:rsid w:val="00EE6FD9"/>
    <w:rsid w:val="00EF33C1"/>
    <w:rsid w:val="00EF3C1D"/>
    <w:rsid w:val="00EF670E"/>
    <w:rsid w:val="00F069CC"/>
    <w:rsid w:val="00F32FC4"/>
    <w:rsid w:val="00F56125"/>
    <w:rsid w:val="00F65D67"/>
    <w:rsid w:val="00F842A8"/>
    <w:rsid w:val="00FA5B8B"/>
    <w:rsid w:val="00FB3725"/>
    <w:rsid w:val="00FC4DFA"/>
    <w:rsid w:val="00FD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5A681E1D"/>
  <w15:docId w15:val="{12353B65-6725-AB4A-B6E6-C70B0EF52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56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6F67"/>
  </w:style>
  <w:style w:type="paragraph" w:styleId="Pieddepage">
    <w:name w:val="footer"/>
    <w:basedOn w:val="Normal"/>
    <w:link w:val="PieddepageCar"/>
    <w:uiPriority w:val="99"/>
    <w:unhideWhenUsed/>
    <w:rsid w:val="00C56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6F67"/>
  </w:style>
  <w:style w:type="paragraph" w:styleId="Paragraphedeliste">
    <w:name w:val="List Paragraph"/>
    <w:basedOn w:val="Normal"/>
    <w:uiPriority w:val="34"/>
    <w:qFormat/>
    <w:rsid w:val="005C3CC4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character" w:styleId="Lienhypertexte">
    <w:name w:val="Hyperlink"/>
    <w:basedOn w:val="Policepardfaut"/>
    <w:uiPriority w:val="99"/>
    <w:unhideWhenUsed/>
    <w:rsid w:val="005C3CC4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5C3CC4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65D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15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57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8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g-act.org/actualite/green-marketing-guide-pratique#:~:text=Le%20green%20marketing%2C%20ou%20marketing,on%20appelle%20le%20marketing%20responsable" TargetMode="External"/><Relationship Id="rId13" Type="http://schemas.openxmlformats.org/officeDocument/2006/relationships/hyperlink" Target="https://www.pinterest.fr/docsmpe/nudges/" TargetMode="External"/><Relationship Id="rId18" Type="http://schemas.openxmlformats.org/officeDocument/2006/relationships/hyperlink" Target="https://blog.hubspot.fr/service/avis-clients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staenk.com/webmarketing/10-exemples-reussis-nudge-marketing-francaise/" TargetMode="External"/><Relationship Id="rId17" Type="http://schemas.openxmlformats.org/officeDocument/2006/relationships/hyperlink" Target="https://www.tiktok.com/@labor.safety101?lang=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linkedin.com/feed/update/urn:li:activity:7207381306865795075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stitutnr.org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k5mnaIiPgVQ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label-nr.fr/#:~:text=Le%20num%C3%A9rique%20responsable%20est%20une,r%C3%A9duire%20l'impact%20du%20num%C3%A9rique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ommunication-responsable.ademe.fr/comprendre-le-greenwashing" TargetMode="External"/><Relationship Id="rId14" Type="http://schemas.openxmlformats.org/officeDocument/2006/relationships/hyperlink" Target="https://www.youtube.com/watch?v=LqiSpVaVZng" TargetMode="External"/><Relationship Id="rId22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348C8D-3A5F-467F-9ECF-90A24F3AA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1320</TotalTime>
  <Pages>5</Pages>
  <Words>1248</Words>
  <Characters>6867</Characters>
  <Application>Microsoft Office Word</Application>
  <DocSecurity>0</DocSecurity>
  <Lines>57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10</vt:i4>
      </vt:variant>
    </vt:vector>
  </HeadingPairs>
  <TitlesOfParts>
    <vt:vector size="11" baseType="lpstr">
      <vt:lpstr/>
      <vt:lpstr>Master Manager QSE</vt:lpstr>
      <vt:lpstr>Coordinatrice Maria Mercanti-Guérin</vt:lpstr>
      <vt:lpstr>Objectifs de l’unité d’enseignement </vt:lpstr>
      <vt:lpstr>Méthode(s) pédagogique(s) </vt:lpstr>
      <vt:lpstr>Alternance de cours et cas pratiques. Un focus particulier sera fait sur les out</vt:lpstr>
      <vt:lpstr/>
      <vt:lpstr>Le cas Fil rouge sera constitué de 5 cas tirés au sort en début de cours 1. Deux</vt:lpstr>
      <vt:lpstr>Références bibliographiques </vt:lpstr>
      <vt:lpstr/>
      <vt:lpstr>Mode d’évaluation </vt:lpstr>
    </vt:vector>
  </TitlesOfParts>
  <Company>IAEDEPARIS</Company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</dc:creator>
  <cp:lastModifiedBy>GUERIN</cp:lastModifiedBy>
  <cp:revision>17</cp:revision>
  <dcterms:created xsi:type="dcterms:W3CDTF">2024-08-08T10:38:00Z</dcterms:created>
  <dcterms:modified xsi:type="dcterms:W3CDTF">2024-08-09T08:47:00Z</dcterms:modified>
</cp:coreProperties>
</file>